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4D39" w:rsidRPr="00584D39" w:rsidRDefault="00584D39" w:rsidP="00584D39">
      <w:pPr>
        <w:spacing w:before="100" w:beforeAutospacing="1" w:after="100" w:afterAutospacing="1" w:line="0" w:lineRule="atLeast"/>
        <w:jc w:val="right"/>
        <w:rPr>
          <w:rFonts w:ascii="Times Nordic" w:eastAsia="Times New Roman" w:hAnsi="Times Nordic" w:cs="Times New Roman"/>
          <w:b/>
          <w:bCs/>
          <w:lang w:eastAsia="it-IT"/>
        </w:rPr>
      </w:pPr>
      <w:r w:rsidRPr="00584D39">
        <w:rPr>
          <w:rFonts w:ascii="Times Nordic" w:eastAsia="Times New Roman" w:hAnsi="Times Nordic" w:cs="Times New Roman"/>
          <w:b/>
          <w:bCs/>
          <w:lang w:eastAsia="it-IT"/>
        </w:rPr>
        <w:t xml:space="preserve">N. </w:t>
      </w:r>
      <w:r w:rsidRPr="00584D39">
        <w:rPr>
          <w:rFonts w:ascii="Times Nordic" w:eastAsia="Times New Roman" w:hAnsi="Times Nordic" w:cs="Times New Roman"/>
          <w:b/>
          <w:bCs/>
          <w:highlight w:val="black"/>
          <w:lang w:eastAsia="it-IT"/>
        </w:rPr>
        <w:t>02055/2014</w:t>
      </w:r>
      <w:r w:rsidRPr="00584D39">
        <w:rPr>
          <w:rFonts w:ascii="Times Nordic" w:eastAsia="Times New Roman" w:hAnsi="Times Nordic" w:cs="Times New Roman"/>
          <w:b/>
          <w:bCs/>
          <w:lang w:eastAsia="it-IT"/>
        </w:rPr>
        <w:t xml:space="preserve"> REG.PROV.CAU.</w:t>
      </w:r>
    </w:p>
    <w:p w:rsidR="00584D39" w:rsidRPr="00584D39" w:rsidRDefault="00584D39" w:rsidP="00584D39">
      <w:pPr>
        <w:spacing w:before="100" w:beforeAutospacing="1" w:after="100" w:afterAutospacing="1" w:line="0" w:lineRule="atLeast"/>
        <w:jc w:val="right"/>
        <w:rPr>
          <w:rFonts w:ascii="Times Nordic" w:eastAsia="Times New Roman" w:hAnsi="Times Nordic" w:cs="Times New Roman"/>
          <w:b/>
          <w:bCs/>
          <w:lang w:eastAsia="it-IT"/>
        </w:rPr>
      </w:pPr>
      <w:r w:rsidRPr="00584D39">
        <w:rPr>
          <w:rFonts w:ascii="Times Nordic" w:eastAsia="Times New Roman" w:hAnsi="Times Nordic" w:cs="Times New Roman"/>
          <w:b/>
          <w:bCs/>
          <w:lang w:eastAsia="it-IT"/>
        </w:rPr>
        <w:t xml:space="preserve">N. </w:t>
      </w:r>
      <w:r w:rsidRPr="00584D39">
        <w:rPr>
          <w:rFonts w:ascii="Times Nordic" w:eastAsia="Times New Roman" w:hAnsi="Times Nordic" w:cs="Times New Roman"/>
          <w:b/>
          <w:bCs/>
          <w:highlight w:val="black"/>
          <w:lang w:eastAsia="it-IT"/>
        </w:rPr>
        <w:t>03819/2014</w:t>
      </w:r>
      <w:bookmarkStart w:id="0" w:name="_GoBack"/>
      <w:bookmarkEnd w:id="0"/>
      <w:r w:rsidRPr="00584D39">
        <w:rPr>
          <w:rFonts w:ascii="Times Nordic" w:eastAsia="Times New Roman" w:hAnsi="Times Nordic" w:cs="Times New Roman"/>
          <w:b/>
          <w:bCs/>
          <w:lang w:eastAsia="it-IT"/>
        </w:rPr>
        <w:t xml:space="preserve"> REG.RIC.           </w:t>
      </w:r>
    </w:p>
    <w:p w:rsidR="00584D39" w:rsidRPr="00584D39" w:rsidRDefault="00584D39" w:rsidP="00584D39">
      <w:pPr>
        <w:spacing w:before="100" w:beforeAutospacing="1" w:after="100" w:afterAutospacing="1" w:line="240" w:lineRule="auto"/>
        <w:jc w:val="center"/>
        <w:rPr>
          <w:rFonts w:ascii="Garamond" w:eastAsia="Times New Roman" w:hAnsi="Garamond" w:cs="Times New Roman"/>
          <w:b/>
          <w:bCs/>
          <w:color w:val="000000"/>
          <w:spacing w:val="150"/>
          <w:sz w:val="24"/>
          <w:szCs w:val="24"/>
          <w:lang w:eastAsia="it-IT"/>
        </w:rPr>
      </w:pPr>
      <w:r w:rsidRPr="00584D39">
        <w:rPr>
          <w:rFonts w:ascii="Garamond" w:eastAsia="Times New Roman" w:hAnsi="Garamond" w:cs="Times New Roman"/>
          <w:b/>
          <w:bCs/>
          <w:noProof/>
          <w:color w:val="000000"/>
          <w:spacing w:val="150"/>
          <w:sz w:val="24"/>
          <w:szCs w:val="24"/>
          <w:lang w:eastAsia="it-IT"/>
        </w:rPr>
        <w:drawing>
          <wp:inline distT="0" distB="0" distL="0" distR="0" wp14:anchorId="762B46E1" wp14:editId="754B117B">
            <wp:extent cx="723265" cy="826770"/>
            <wp:effectExtent l="0" t="0" r="635" b="0"/>
            <wp:docPr id="1" name="Immagine 1" descr="http://www.giustizia-amministrativa.it/DocumentiGA/Roma/Sezione%203B/2014/201403819/Provvedimenti/stem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iustizia-amministrativa.it/DocumentiGA/Roma/Sezione%203B/2014/201403819/Provvedimenti/stemma.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23265" cy="826770"/>
                    </a:xfrm>
                    <a:prstGeom prst="rect">
                      <a:avLst/>
                    </a:prstGeom>
                    <a:noFill/>
                    <a:ln>
                      <a:noFill/>
                    </a:ln>
                  </pic:spPr>
                </pic:pic>
              </a:graphicData>
            </a:graphic>
          </wp:inline>
        </w:drawing>
      </w:r>
    </w:p>
    <w:p w:rsidR="00584D39" w:rsidRPr="00584D39" w:rsidRDefault="00584D39" w:rsidP="00584D39">
      <w:pPr>
        <w:spacing w:before="100" w:beforeAutospacing="1" w:after="100" w:afterAutospacing="1" w:line="240" w:lineRule="auto"/>
        <w:jc w:val="center"/>
        <w:rPr>
          <w:rFonts w:ascii="Garamond" w:eastAsia="Times New Roman" w:hAnsi="Garamond" w:cs="Times New Roman"/>
          <w:b/>
          <w:bCs/>
          <w:color w:val="000000"/>
          <w:spacing w:val="150"/>
          <w:sz w:val="24"/>
          <w:szCs w:val="24"/>
          <w:lang w:eastAsia="it-IT"/>
        </w:rPr>
      </w:pPr>
      <w:r w:rsidRPr="00584D39">
        <w:rPr>
          <w:rFonts w:ascii="Garamond" w:eastAsia="Times New Roman" w:hAnsi="Garamond" w:cs="Times New Roman"/>
          <w:b/>
          <w:bCs/>
          <w:color w:val="000000"/>
          <w:spacing w:val="150"/>
          <w:sz w:val="24"/>
          <w:szCs w:val="24"/>
          <w:lang w:eastAsia="it-IT"/>
        </w:rPr>
        <w:t>REPUBBLICA ITALIANA</w:t>
      </w:r>
    </w:p>
    <w:p w:rsidR="00584D39" w:rsidRPr="00584D39" w:rsidRDefault="00584D39" w:rsidP="00584D39">
      <w:pPr>
        <w:spacing w:before="100" w:beforeAutospacing="1" w:after="100" w:afterAutospacing="1" w:line="240" w:lineRule="auto"/>
        <w:jc w:val="center"/>
        <w:rPr>
          <w:rFonts w:ascii="Garamond" w:eastAsia="Times New Roman" w:hAnsi="Garamond" w:cs="Times New Roman"/>
          <w:b/>
          <w:bCs/>
          <w:color w:val="000000"/>
          <w:sz w:val="26"/>
          <w:szCs w:val="26"/>
          <w:lang w:eastAsia="it-IT"/>
        </w:rPr>
      </w:pPr>
      <w:r w:rsidRPr="00584D39">
        <w:rPr>
          <w:rFonts w:ascii="Garamond" w:eastAsia="Times New Roman" w:hAnsi="Garamond" w:cs="Times New Roman"/>
          <w:b/>
          <w:bCs/>
          <w:color w:val="000000"/>
          <w:sz w:val="26"/>
          <w:szCs w:val="26"/>
          <w:lang w:eastAsia="it-IT"/>
        </w:rPr>
        <w:t>Il Tribunale Amministrativo Regionale per il Lazio</w:t>
      </w:r>
    </w:p>
    <w:p w:rsidR="00584D39" w:rsidRPr="00584D39" w:rsidRDefault="00584D39" w:rsidP="00584D39">
      <w:pPr>
        <w:spacing w:before="100" w:beforeAutospacing="1" w:after="100" w:afterAutospacing="1" w:line="240" w:lineRule="auto"/>
        <w:jc w:val="center"/>
        <w:rPr>
          <w:rFonts w:ascii="Garamond" w:eastAsia="Times New Roman" w:hAnsi="Garamond" w:cs="Times New Roman"/>
          <w:b/>
          <w:bCs/>
          <w:color w:val="000000"/>
          <w:sz w:val="26"/>
          <w:szCs w:val="26"/>
          <w:lang w:eastAsia="it-IT"/>
        </w:rPr>
      </w:pPr>
      <w:r w:rsidRPr="00584D39">
        <w:rPr>
          <w:rFonts w:ascii="Garamond" w:eastAsia="Times New Roman" w:hAnsi="Garamond" w:cs="Times New Roman"/>
          <w:b/>
          <w:bCs/>
          <w:color w:val="000000"/>
          <w:sz w:val="26"/>
          <w:szCs w:val="26"/>
          <w:lang w:eastAsia="it-IT"/>
        </w:rPr>
        <w:t>(Sezione Terza Bis)</w:t>
      </w:r>
    </w:p>
    <w:p w:rsidR="00584D39" w:rsidRPr="00584D39" w:rsidRDefault="00584D39" w:rsidP="00584D39">
      <w:pPr>
        <w:spacing w:after="0" w:line="520" w:lineRule="atLeast"/>
        <w:ind w:firstLine="567"/>
        <w:rPr>
          <w:rFonts w:ascii="Garamond" w:eastAsia="Times New Roman" w:hAnsi="Garamond" w:cs="Times New Roman"/>
          <w:sz w:val="30"/>
          <w:szCs w:val="30"/>
          <w:lang w:eastAsia="it-IT"/>
        </w:rPr>
      </w:pPr>
      <w:r w:rsidRPr="00584D39">
        <w:rPr>
          <w:rFonts w:ascii="Garamond" w:eastAsia="Times New Roman" w:hAnsi="Garamond" w:cs="Times New Roman"/>
          <w:sz w:val="30"/>
          <w:szCs w:val="30"/>
          <w:lang w:eastAsia="it-IT"/>
        </w:rPr>
        <w:t>ha pronunciato la presente</w:t>
      </w:r>
    </w:p>
    <w:p w:rsidR="00584D39" w:rsidRPr="00584D39" w:rsidRDefault="00584D39" w:rsidP="00584D39">
      <w:pPr>
        <w:spacing w:before="100" w:beforeAutospacing="1" w:after="100" w:afterAutospacing="1" w:line="240" w:lineRule="auto"/>
        <w:jc w:val="center"/>
        <w:rPr>
          <w:rFonts w:ascii="Garamond" w:eastAsia="Times New Roman" w:hAnsi="Garamond" w:cs="Times New Roman"/>
          <w:b/>
          <w:bCs/>
          <w:color w:val="000000"/>
          <w:sz w:val="26"/>
          <w:szCs w:val="26"/>
          <w:lang w:eastAsia="it-IT"/>
        </w:rPr>
      </w:pPr>
      <w:r w:rsidRPr="00584D39">
        <w:rPr>
          <w:rFonts w:ascii="Garamond" w:eastAsia="Times New Roman" w:hAnsi="Garamond" w:cs="Times New Roman"/>
          <w:b/>
          <w:bCs/>
          <w:color w:val="000000"/>
          <w:sz w:val="26"/>
          <w:szCs w:val="26"/>
          <w:lang w:eastAsia="it-IT"/>
        </w:rPr>
        <w:t>ORDINANZA</w:t>
      </w:r>
    </w:p>
    <w:p w:rsidR="00584D39" w:rsidRPr="00584D39" w:rsidRDefault="00584D39" w:rsidP="00584D39">
      <w:pPr>
        <w:spacing w:after="0" w:line="520" w:lineRule="atLeast"/>
        <w:jc w:val="both"/>
        <w:rPr>
          <w:rFonts w:ascii="Garamond" w:eastAsia="Times New Roman" w:hAnsi="Garamond" w:cs="Times New Roman"/>
          <w:sz w:val="30"/>
          <w:szCs w:val="30"/>
          <w:lang w:eastAsia="it-IT"/>
        </w:rPr>
      </w:pPr>
      <w:r w:rsidRPr="00584D39">
        <w:rPr>
          <w:rFonts w:ascii="Garamond" w:eastAsia="Times New Roman" w:hAnsi="Garamond" w:cs="Times New Roman"/>
          <w:sz w:val="30"/>
          <w:szCs w:val="30"/>
          <w:lang w:eastAsia="it-IT"/>
        </w:rPr>
        <w:t xml:space="preserve">sul ricorso numero di registro generale 3819 del 2014, proposto da: </w:t>
      </w:r>
    </w:p>
    <w:p w:rsidR="00584D39" w:rsidRPr="00584D39" w:rsidRDefault="00584D39" w:rsidP="00584D39">
      <w:pPr>
        <w:spacing w:after="0" w:line="240" w:lineRule="auto"/>
        <w:rPr>
          <w:rFonts w:ascii="Times New Roman" w:eastAsia="Times New Roman" w:hAnsi="Times New Roman" w:cs="Times New Roman"/>
          <w:sz w:val="24"/>
          <w:szCs w:val="24"/>
          <w:lang w:eastAsia="it-IT"/>
        </w:rPr>
      </w:pPr>
    </w:p>
    <w:p w:rsidR="00584D39" w:rsidRPr="00584D39" w:rsidRDefault="00584D39" w:rsidP="00584D39">
      <w:pPr>
        <w:spacing w:after="0" w:line="520" w:lineRule="atLeast"/>
        <w:jc w:val="both"/>
        <w:rPr>
          <w:rFonts w:ascii="Garamond" w:eastAsia="Times New Roman" w:hAnsi="Garamond" w:cs="Times New Roman"/>
          <w:sz w:val="30"/>
          <w:szCs w:val="30"/>
          <w:lang w:eastAsia="it-IT"/>
        </w:rPr>
      </w:pPr>
      <w:r w:rsidRPr="00584D39">
        <w:rPr>
          <w:rFonts w:ascii="Garamond" w:eastAsia="Times New Roman" w:hAnsi="Garamond" w:cs="Times New Roman"/>
          <w:sz w:val="30"/>
          <w:szCs w:val="30"/>
          <w:highlight w:val="black"/>
          <w:lang w:eastAsia="it-IT"/>
        </w:rPr>
        <w:t>Deborah Patti</w:t>
      </w:r>
      <w:r w:rsidRPr="00584D39">
        <w:rPr>
          <w:rFonts w:ascii="Garamond" w:eastAsia="Times New Roman" w:hAnsi="Garamond" w:cs="Times New Roman"/>
          <w:sz w:val="30"/>
          <w:szCs w:val="30"/>
          <w:lang w:eastAsia="it-IT"/>
        </w:rPr>
        <w:t>, rappresentata e difesa dagli avv. Michele Bonetti, Santi Delia, con domicilio eletto presso lo studio del primo in Roma, via S. Tommaso D'Aquino, 47</w:t>
      </w:r>
    </w:p>
    <w:p w:rsidR="00584D39" w:rsidRPr="00584D39" w:rsidRDefault="00584D39" w:rsidP="00584D39">
      <w:pPr>
        <w:spacing w:after="0" w:line="240" w:lineRule="auto"/>
        <w:rPr>
          <w:rFonts w:ascii="Times New Roman" w:eastAsia="Times New Roman" w:hAnsi="Times New Roman" w:cs="Times New Roman"/>
          <w:sz w:val="24"/>
          <w:szCs w:val="24"/>
          <w:lang w:eastAsia="it-IT"/>
        </w:rPr>
      </w:pPr>
    </w:p>
    <w:p w:rsidR="00584D39" w:rsidRPr="00584D39" w:rsidRDefault="00584D39" w:rsidP="00584D39">
      <w:pPr>
        <w:spacing w:after="0" w:line="520" w:lineRule="atLeast"/>
        <w:jc w:val="center"/>
        <w:rPr>
          <w:rFonts w:ascii="Garamond" w:eastAsia="Times New Roman" w:hAnsi="Garamond" w:cs="Times New Roman"/>
          <w:b/>
          <w:bCs/>
          <w:i/>
          <w:iCs/>
          <w:sz w:val="30"/>
          <w:szCs w:val="30"/>
          <w:lang w:eastAsia="it-IT"/>
        </w:rPr>
      </w:pPr>
      <w:r w:rsidRPr="00584D39">
        <w:rPr>
          <w:rFonts w:ascii="Garamond" w:eastAsia="Times New Roman" w:hAnsi="Garamond" w:cs="Times New Roman"/>
          <w:b/>
          <w:bCs/>
          <w:i/>
          <w:iCs/>
          <w:sz w:val="30"/>
          <w:szCs w:val="30"/>
          <w:lang w:eastAsia="it-IT"/>
        </w:rPr>
        <w:t>contro</w:t>
      </w:r>
    </w:p>
    <w:p w:rsidR="00584D39" w:rsidRPr="00584D39" w:rsidRDefault="00584D39" w:rsidP="00584D39">
      <w:pPr>
        <w:spacing w:after="0" w:line="520" w:lineRule="atLeast"/>
        <w:jc w:val="both"/>
        <w:rPr>
          <w:rFonts w:ascii="Garamond" w:eastAsia="Times New Roman" w:hAnsi="Garamond" w:cs="Times New Roman"/>
          <w:sz w:val="30"/>
          <w:szCs w:val="30"/>
          <w:lang w:eastAsia="it-IT"/>
        </w:rPr>
      </w:pPr>
      <w:r w:rsidRPr="00584D39">
        <w:rPr>
          <w:rFonts w:ascii="Garamond" w:eastAsia="Times New Roman" w:hAnsi="Garamond" w:cs="Times New Roman"/>
          <w:sz w:val="30"/>
          <w:szCs w:val="30"/>
          <w:lang w:eastAsia="it-IT"/>
        </w:rPr>
        <w:t xml:space="preserve">Ministero dell'Istruzione </w:t>
      </w:r>
      <w:proofErr w:type="spellStart"/>
      <w:r w:rsidRPr="00584D39">
        <w:rPr>
          <w:rFonts w:ascii="Garamond" w:eastAsia="Times New Roman" w:hAnsi="Garamond" w:cs="Times New Roman"/>
          <w:sz w:val="30"/>
          <w:szCs w:val="30"/>
          <w:lang w:eastAsia="it-IT"/>
        </w:rPr>
        <w:t>dell'Universita'</w:t>
      </w:r>
      <w:proofErr w:type="spellEnd"/>
      <w:r w:rsidRPr="00584D39">
        <w:rPr>
          <w:rFonts w:ascii="Garamond" w:eastAsia="Times New Roman" w:hAnsi="Garamond" w:cs="Times New Roman"/>
          <w:sz w:val="30"/>
          <w:szCs w:val="30"/>
          <w:lang w:eastAsia="it-IT"/>
        </w:rPr>
        <w:t xml:space="preserve"> e della Ricerca in persona del Ministro legale rappresentante </w:t>
      </w:r>
      <w:proofErr w:type="spellStart"/>
      <w:r w:rsidRPr="00584D39">
        <w:rPr>
          <w:rFonts w:ascii="Garamond" w:eastAsia="Times New Roman" w:hAnsi="Garamond" w:cs="Times New Roman"/>
          <w:sz w:val="30"/>
          <w:szCs w:val="30"/>
          <w:lang w:eastAsia="it-IT"/>
        </w:rPr>
        <w:t>p.t.</w:t>
      </w:r>
      <w:proofErr w:type="spellEnd"/>
      <w:r w:rsidRPr="00584D39">
        <w:rPr>
          <w:rFonts w:ascii="Garamond" w:eastAsia="Times New Roman" w:hAnsi="Garamond" w:cs="Times New Roman"/>
          <w:sz w:val="30"/>
          <w:szCs w:val="30"/>
          <w:lang w:eastAsia="it-IT"/>
        </w:rPr>
        <w:t xml:space="preserve">, </w:t>
      </w:r>
      <w:proofErr w:type="spellStart"/>
      <w:r w:rsidRPr="00584D39">
        <w:rPr>
          <w:rFonts w:ascii="Garamond" w:eastAsia="Times New Roman" w:hAnsi="Garamond" w:cs="Times New Roman"/>
          <w:sz w:val="30"/>
          <w:szCs w:val="30"/>
          <w:lang w:eastAsia="it-IT"/>
        </w:rPr>
        <w:t>Universita'</w:t>
      </w:r>
      <w:proofErr w:type="spellEnd"/>
      <w:r w:rsidRPr="00584D39">
        <w:rPr>
          <w:rFonts w:ascii="Garamond" w:eastAsia="Times New Roman" w:hAnsi="Garamond" w:cs="Times New Roman"/>
          <w:sz w:val="30"/>
          <w:szCs w:val="30"/>
          <w:lang w:eastAsia="it-IT"/>
        </w:rPr>
        <w:t xml:space="preserve"> degli Studi di Catania, </w:t>
      </w:r>
      <w:proofErr w:type="spellStart"/>
      <w:r w:rsidRPr="00584D39">
        <w:rPr>
          <w:rFonts w:ascii="Garamond" w:eastAsia="Times New Roman" w:hAnsi="Garamond" w:cs="Times New Roman"/>
          <w:sz w:val="30"/>
          <w:szCs w:val="30"/>
          <w:lang w:eastAsia="it-IT"/>
        </w:rPr>
        <w:t>Universita'</w:t>
      </w:r>
      <w:proofErr w:type="spellEnd"/>
      <w:r w:rsidRPr="00584D39">
        <w:rPr>
          <w:rFonts w:ascii="Garamond" w:eastAsia="Times New Roman" w:hAnsi="Garamond" w:cs="Times New Roman"/>
          <w:sz w:val="30"/>
          <w:szCs w:val="30"/>
          <w:lang w:eastAsia="it-IT"/>
        </w:rPr>
        <w:t xml:space="preserve"> degli Studi di Messina, </w:t>
      </w:r>
      <w:proofErr w:type="spellStart"/>
      <w:r w:rsidRPr="00584D39">
        <w:rPr>
          <w:rFonts w:ascii="Garamond" w:eastAsia="Times New Roman" w:hAnsi="Garamond" w:cs="Times New Roman"/>
          <w:sz w:val="30"/>
          <w:szCs w:val="30"/>
          <w:lang w:eastAsia="it-IT"/>
        </w:rPr>
        <w:t>Universita'</w:t>
      </w:r>
      <w:proofErr w:type="spellEnd"/>
      <w:r w:rsidRPr="00584D39">
        <w:rPr>
          <w:rFonts w:ascii="Garamond" w:eastAsia="Times New Roman" w:hAnsi="Garamond" w:cs="Times New Roman"/>
          <w:sz w:val="30"/>
          <w:szCs w:val="30"/>
          <w:lang w:eastAsia="it-IT"/>
        </w:rPr>
        <w:t xml:space="preserve"> degli Studi Magna </w:t>
      </w:r>
      <w:proofErr w:type="spellStart"/>
      <w:r w:rsidRPr="00584D39">
        <w:rPr>
          <w:rFonts w:ascii="Garamond" w:eastAsia="Times New Roman" w:hAnsi="Garamond" w:cs="Times New Roman"/>
          <w:sz w:val="30"/>
          <w:szCs w:val="30"/>
          <w:lang w:eastAsia="it-IT"/>
        </w:rPr>
        <w:t>Graecia</w:t>
      </w:r>
      <w:proofErr w:type="spellEnd"/>
      <w:r w:rsidRPr="00584D39">
        <w:rPr>
          <w:rFonts w:ascii="Garamond" w:eastAsia="Times New Roman" w:hAnsi="Garamond" w:cs="Times New Roman"/>
          <w:sz w:val="30"/>
          <w:szCs w:val="30"/>
          <w:lang w:eastAsia="it-IT"/>
        </w:rPr>
        <w:t xml:space="preserve"> di Catanzaro in persona dei legali rappresentanti </w:t>
      </w:r>
      <w:proofErr w:type="spellStart"/>
      <w:r w:rsidRPr="00584D39">
        <w:rPr>
          <w:rFonts w:ascii="Garamond" w:eastAsia="Times New Roman" w:hAnsi="Garamond" w:cs="Times New Roman"/>
          <w:sz w:val="30"/>
          <w:szCs w:val="30"/>
          <w:lang w:eastAsia="it-IT"/>
        </w:rPr>
        <w:t>p.t.</w:t>
      </w:r>
      <w:proofErr w:type="spellEnd"/>
      <w:r w:rsidRPr="00584D39">
        <w:rPr>
          <w:rFonts w:ascii="Garamond" w:eastAsia="Times New Roman" w:hAnsi="Garamond" w:cs="Times New Roman"/>
          <w:sz w:val="30"/>
          <w:szCs w:val="30"/>
          <w:lang w:eastAsia="it-IT"/>
        </w:rPr>
        <w:t xml:space="preserve"> rappresentati e difesi dall'Avvocatura generale dello Stato, domiciliataria in Roma, via dei Portoghesi, 12 </w:t>
      </w:r>
    </w:p>
    <w:p w:rsidR="00584D39" w:rsidRPr="00584D39" w:rsidRDefault="00584D39" w:rsidP="00584D39">
      <w:pPr>
        <w:spacing w:after="0" w:line="520" w:lineRule="atLeast"/>
        <w:jc w:val="center"/>
        <w:rPr>
          <w:rFonts w:ascii="Garamond" w:eastAsia="Times New Roman" w:hAnsi="Garamond" w:cs="Times New Roman"/>
          <w:b/>
          <w:bCs/>
          <w:i/>
          <w:iCs/>
          <w:sz w:val="30"/>
          <w:szCs w:val="30"/>
          <w:lang w:eastAsia="it-IT"/>
        </w:rPr>
      </w:pPr>
      <w:r w:rsidRPr="00584D39">
        <w:rPr>
          <w:rFonts w:ascii="Garamond" w:eastAsia="Times New Roman" w:hAnsi="Garamond" w:cs="Times New Roman"/>
          <w:b/>
          <w:bCs/>
          <w:i/>
          <w:iCs/>
          <w:sz w:val="30"/>
          <w:szCs w:val="30"/>
          <w:lang w:eastAsia="it-IT"/>
        </w:rPr>
        <w:t>nei confronti di</w:t>
      </w:r>
    </w:p>
    <w:p w:rsidR="00584D39" w:rsidRPr="00584D39" w:rsidRDefault="00584D39" w:rsidP="00584D39">
      <w:pPr>
        <w:spacing w:after="0" w:line="520" w:lineRule="atLeast"/>
        <w:jc w:val="both"/>
        <w:rPr>
          <w:rFonts w:ascii="Garamond" w:eastAsia="Times New Roman" w:hAnsi="Garamond" w:cs="Times New Roman"/>
          <w:sz w:val="30"/>
          <w:szCs w:val="30"/>
          <w:lang w:eastAsia="it-IT"/>
        </w:rPr>
      </w:pPr>
      <w:r w:rsidRPr="00584D39">
        <w:rPr>
          <w:rFonts w:ascii="Garamond" w:eastAsia="Times New Roman" w:hAnsi="Garamond" w:cs="Times New Roman"/>
          <w:sz w:val="30"/>
          <w:szCs w:val="30"/>
          <w:highlight w:val="black"/>
          <w:lang w:eastAsia="it-IT"/>
        </w:rPr>
        <w:t>Francesca Braccia</w:t>
      </w:r>
      <w:r w:rsidRPr="00584D39">
        <w:rPr>
          <w:rFonts w:ascii="Garamond" w:eastAsia="Times New Roman" w:hAnsi="Garamond" w:cs="Times New Roman"/>
          <w:sz w:val="30"/>
          <w:szCs w:val="30"/>
          <w:lang w:eastAsia="it-IT"/>
        </w:rPr>
        <w:t xml:space="preserve">; </w:t>
      </w:r>
    </w:p>
    <w:p w:rsidR="00584D39" w:rsidRPr="00584D39" w:rsidRDefault="00584D39" w:rsidP="00584D39">
      <w:pPr>
        <w:spacing w:after="0" w:line="520" w:lineRule="atLeast"/>
        <w:jc w:val="center"/>
        <w:rPr>
          <w:rFonts w:ascii="Garamond" w:eastAsia="Times New Roman" w:hAnsi="Garamond" w:cs="Times New Roman"/>
          <w:b/>
          <w:bCs/>
          <w:i/>
          <w:iCs/>
          <w:sz w:val="30"/>
          <w:szCs w:val="30"/>
          <w:lang w:eastAsia="it-IT"/>
        </w:rPr>
      </w:pPr>
      <w:r w:rsidRPr="00584D39">
        <w:rPr>
          <w:rFonts w:ascii="Garamond" w:eastAsia="Times New Roman" w:hAnsi="Garamond" w:cs="Times New Roman"/>
          <w:b/>
          <w:bCs/>
          <w:i/>
          <w:iCs/>
          <w:sz w:val="30"/>
          <w:szCs w:val="30"/>
          <w:lang w:eastAsia="it-IT"/>
        </w:rPr>
        <w:t>per l'annullamento</w:t>
      </w:r>
    </w:p>
    <w:p w:rsidR="00584D39" w:rsidRPr="00584D39" w:rsidRDefault="00584D39" w:rsidP="00584D39">
      <w:pPr>
        <w:spacing w:after="0" w:line="540" w:lineRule="atLeast"/>
        <w:jc w:val="center"/>
        <w:rPr>
          <w:rFonts w:ascii="Garamond" w:eastAsia="Times New Roman" w:hAnsi="Garamond" w:cs="Times New Roman"/>
          <w:i/>
          <w:iCs/>
          <w:sz w:val="30"/>
          <w:szCs w:val="30"/>
          <w:lang w:eastAsia="it-IT"/>
        </w:rPr>
      </w:pPr>
      <w:r w:rsidRPr="00584D39">
        <w:rPr>
          <w:rFonts w:ascii="Garamond" w:eastAsia="Times New Roman" w:hAnsi="Garamond" w:cs="Times New Roman"/>
          <w:i/>
          <w:iCs/>
          <w:sz w:val="30"/>
          <w:szCs w:val="30"/>
          <w:lang w:eastAsia="it-IT"/>
        </w:rPr>
        <w:t>previa sospensione dell'efficacia,</w:t>
      </w:r>
    </w:p>
    <w:p w:rsidR="00584D39" w:rsidRPr="00584D39" w:rsidRDefault="00584D39" w:rsidP="00584D39">
      <w:pPr>
        <w:spacing w:after="0" w:line="520" w:lineRule="atLeast"/>
        <w:jc w:val="both"/>
        <w:rPr>
          <w:rFonts w:ascii="Garamond" w:eastAsia="Times New Roman" w:hAnsi="Garamond" w:cs="Times New Roman"/>
          <w:sz w:val="30"/>
          <w:szCs w:val="30"/>
          <w:lang w:eastAsia="it-IT"/>
        </w:rPr>
      </w:pPr>
      <w:r w:rsidRPr="00584D39">
        <w:rPr>
          <w:rFonts w:ascii="Garamond" w:eastAsia="Times New Roman" w:hAnsi="Garamond" w:cs="Times New Roman"/>
          <w:sz w:val="30"/>
          <w:szCs w:val="30"/>
          <w:lang w:eastAsia="it-IT"/>
        </w:rPr>
        <w:lastRenderedPageBreak/>
        <w:t xml:space="preserve">- del decreto del MIUR 21.02.2014 n. 170 nella parte in cui decreta la chiusura della graduatoria in presenza di posti disponibili, nonché di tutti gli atti precedenti, successivi, connessi nella parte in cui non prevedono scorrimenti della graduatoria sino a totale copertura dei posti disponibili e nella parte in cui non contemplano l’attribuzione dei posti ad oggi disponibili (12 a Messina e 8 a Catanzaro) a parte ricorrente e per l’accertamento del diritto di parte ricorrente di essere ammessa al Corso di laurea in questione e di ottenere il risarcimento dei danni subiti e </w:t>
      </w:r>
      <w:proofErr w:type="spellStart"/>
      <w:r w:rsidRPr="00584D39">
        <w:rPr>
          <w:rFonts w:ascii="Garamond" w:eastAsia="Times New Roman" w:hAnsi="Garamond" w:cs="Times New Roman"/>
          <w:sz w:val="30"/>
          <w:szCs w:val="30"/>
          <w:lang w:eastAsia="it-IT"/>
        </w:rPr>
        <w:t>subendi</w:t>
      </w:r>
      <w:proofErr w:type="spellEnd"/>
      <w:r w:rsidRPr="00584D39">
        <w:rPr>
          <w:rFonts w:ascii="Garamond" w:eastAsia="Times New Roman" w:hAnsi="Garamond" w:cs="Times New Roman"/>
          <w:sz w:val="30"/>
          <w:szCs w:val="30"/>
          <w:lang w:eastAsia="it-IT"/>
        </w:rPr>
        <w:t xml:space="preserve"> a causa del diniego all’iscrizione opposta e per la condanna in forma specifica ex art. 30 </w:t>
      </w:r>
      <w:proofErr w:type="spellStart"/>
      <w:r w:rsidRPr="00584D39">
        <w:rPr>
          <w:rFonts w:ascii="Garamond" w:eastAsia="Times New Roman" w:hAnsi="Garamond" w:cs="Times New Roman"/>
          <w:sz w:val="30"/>
          <w:szCs w:val="30"/>
          <w:lang w:eastAsia="it-IT"/>
        </w:rPr>
        <w:t>c.p.a</w:t>
      </w:r>
      <w:proofErr w:type="spellEnd"/>
      <w:r w:rsidRPr="00584D39">
        <w:rPr>
          <w:rFonts w:ascii="Garamond" w:eastAsia="Times New Roman" w:hAnsi="Garamond" w:cs="Times New Roman"/>
          <w:sz w:val="30"/>
          <w:szCs w:val="30"/>
          <w:lang w:eastAsia="it-IT"/>
        </w:rPr>
        <w:t>. all’adozione del relativo provvedimento;</w:t>
      </w:r>
    </w:p>
    <w:p w:rsidR="00584D39" w:rsidRPr="00584D39" w:rsidRDefault="00584D39" w:rsidP="00584D39">
      <w:pPr>
        <w:spacing w:after="0" w:line="240" w:lineRule="auto"/>
        <w:rPr>
          <w:rFonts w:ascii="Times New Roman" w:eastAsia="Times New Roman" w:hAnsi="Times New Roman" w:cs="Times New Roman"/>
          <w:sz w:val="24"/>
          <w:szCs w:val="24"/>
          <w:lang w:eastAsia="it-IT"/>
        </w:rPr>
      </w:pPr>
    </w:p>
    <w:p w:rsidR="00584D39" w:rsidRPr="00584D39" w:rsidRDefault="00584D39" w:rsidP="00584D39">
      <w:pPr>
        <w:spacing w:after="0" w:line="520" w:lineRule="atLeast"/>
        <w:jc w:val="both"/>
        <w:rPr>
          <w:rFonts w:ascii="Garamond" w:eastAsia="Times New Roman" w:hAnsi="Garamond" w:cs="Times New Roman"/>
          <w:sz w:val="30"/>
          <w:szCs w:val="30"/>
          <w:lang w:eastAsia="it-IT"/>
        </w:rPr>
      </w:pPr>
      <w:r w:rsidRPr="00584D39">
        <w:rPr>
          <w:rFonts w:ascii="Garamond" w:eastAsia="Times New Roman" w:hAnsi="Garamond" w:cs="Times New Roman"/>
          <w:sz w:val="30"/>
          <w:szCs w:val="30"/>
          <w:lang w:eastAsia="it-IT"/>
        </w:rPr>
        <w:t>Visti il ricorso e i relativi allegati;</w:t>
      </w:r>
    </w:p>
    <w:p w:rsidR="00584D39" w:rsidRPr="00584D39" w:rsidRDefault="00584D39" w:rsidP="00584D39">
      <w:pPr>
        <w:spacing w:after="0" w:line="520" w:lineRule="atLeast"/>
        <w:jc w:val="both"/>
        <w:rPr>
          <w:rFonts w:ascii="Garamond" w:eastAsia="Times New Roman" w:hAnsi="Garamond" w:cs="Times New Roman"/>
          <w:sz w:val="30"/>
          <w:szCs w:val="30"/>
          <w:lang w:eastAsia="it-IT"/>
        </w:rPr>
      </w:pPr>
      <w:r w:rsidRPr="00584D39">
        <w:rPr>
          <w:rFonts w:ascii="Garamond" w:eastAsia="Times New Roman" w:hAnsi="Garamond" w:cs="Times New Roman"/>
          <w:sz w:val="30"/>
          <w:szCs w:val="30"/>
          <w:lang w:eastAsia="it-IT"/>
        </w:rPr>
        <w:t xml:space="preserve">Visti gli atti di costituzione in giudizio di: Ministero dell'Istruzione </w:t>
      </w:r>
      <w:proofErr w:type="spellStart"/>
      <w:r w:rsidRPr="00584D39">
        <w:rPr>
          <w:rFonts w:ascii="Garamond" w:eastAsia="Times New Roman" w:hAnsi="Garamond" w:cs="Times New Roman"/>
          <w:sz w:val="30"/>
          <w:szCs w:val="30"/>
          <w:lang w:eastAsia="it-IT"/>
        </w:rPr>
        <w:t>dell'Universita'</w:t>
      </w:r>
      <w:proofErr w:type="spellEnd"/>
      <w:r w:rsidRPr="00584D39">
        <w:rPr>
          <w:rFonts w:ascii="Garamond" w:eastAsia="Times New Roman" w:hAnsi="Garamond" w:cs="Times New Roman"/>
          <w:sz w:val="30"/>
          <w:szCs w:val="30"/>
          <w:lang w:eastAsia="it-IT"/>
        </w:rPr>
        <w:t xml:space="preserve"> e della Ricerca, </w:t>
      </w:r>
      <w:proofErr w:type="spellStart"/>
      <w:r w:rsidRPr="00584D39">
        <w:rPr>
          <w:rFonts w:ascii="Garamond" w:eastAsia="Times New Roman" w:hAnsi="Garamond" w:cs="Times New Roman"/>
          <w:sz w:val="30"/>
          <w:szCs w:val="30"/>
          <w:lang w:eastAsia="it-IT"/>
        </w:rPr>
        <w:t>Universita'</w:t>
      </w:r>
      <w:proofErr w:type="spellEnd"/>
      <w:r w:rsidRPr="00584D39">
        <w:rPr>
          <w:rFonts w:ascii="Garamond" w:eastAsia="Times New Roman" w:hAnsi="Garamond" w:cs="Times New Roman"/>
          <w:sz w:val="30"/>
          <w:szCs w:val="30"/>
          <w:lang w:eastAsia="it-IT"/>
        </w:rPr>
        <w:t xml:space="preserve"> degli Studi di Catania, </w:t>
      </w:r>
      <w:proofErr w:type="spellStart"/>
      <w:r w:rsidRPr="00584D39">
        <w:rPr>
          <w:rFonts w:ascii="Garamond" w:eastAsia="Times New Roman" w:hAnsi="Garamond" w:cs="Times New Roman"/>
          <w:sz w:val="30"/>
          <w:szCs w:val="30"/>
          <w:lang w:eastAsia="it-IT"/>
        </w:rPr>
        <w:t>Universita'</w:t>
      </w:r>
      <w:proofErr w:type="spellEnd"/>
      <w:r w:rsidRPr="00584D39">
        <w:rPr>
          <w:rFonts w:ascii="Garamond" w:eastAsia="Times New Roman" w:hAnsi="Garamond" w:cs="Times New Roman"/>
          <w:sz w:val="30"/>
          <w:szCs w:val="30"/>
          <w:lang w:eastAsia="it-IT"/>
        </w:rPr>
        <w:t xml:space="preserve"> degli Studi di Messina e </w:t>
      </w:r>
      <w:proofErr w:type="spellStart"/>
      <w:r w:rsidRPr="00584D39">
        <w:rPr>
          <w:rFonts w:ascii="Garamond" w:eastAsia="Times New Roman" w:hAnsi="Garamond" w:cs="Times New Roman"/>
          <w:sz w:val="30"/>
          <w:szCs w:val="30"/>
          <w:lang w:eastAsia="it-IT"/>
        </w:rPr>
        <w:t>Universita'</w:t>
      </w:r>
      <w:proofErr w:type="spellEnd"/>
      <w:r w:rsidRPr="00584D39">
        <w:rPr>
          <w:rFonts w:ascii="Garamond" w:eastAsia="Times New Roman" w:hAnsi="Garamond" w:cs="Times New Roman"/>
          <w:sz w:val="30"/>
          <w:szCs w:val="30"/>
          <w:lang w:eastAsia="it-IT"/>
        </w:rPr>
        <w:t xml:space="preserve"> degli Studi Magna </w:t>
      </w:r>
      <w:proofErr w:type="spellStart"/>
      <w:r w:rsidRPr="00584D39">
        <w:rPr>
          <w:rFonts w:ascii="Garamond" w:eastAsia="Times New Roman" w:hAnsi="Garamond" w:cs="Times New Roman"/>
          <w:sz w:val="30"/>
          <w:szCs w:val="30"/>
          <w:lang w:eastAsia="it-IT"/>
        </w:rPr>
        <w:t>Graecia</w:t>
      </w:r>
      <w:proofErr w:type="spellEnd"/>
      <w:r w:rsidRPr="00584D39">
        <w:rPr>
          <w:rFonts w:ascii="Garamond" w:eastAsia="Times New Roman" w:hAnsi="Garamond" w:cs="Times New Roman"/>
          <w:sz w:val="30"/>
          <w:szCs w:val="30"/>
          <w:lang w:eastAsia="it-IT"/>
        </w:rPr>
        <w:t xml:space="preserve"> di Catanzaro;</w:t>
      </w:r>
    </w:p>
    <w:p w:rsidR="00584D39" w:rsidRPr="00584D39" w:rsidRDefault="00584D39" w:rsidP="00584D39">
      <w:pPr>
        <w:spacing w:after="0" w:line="520" w:lineRule="atLeast"/>
        <w:jc w:val="both"/>
        <w:rPr>
          <w:rFonts w:ascii="Garamond" w:eastAsia="Times New Roman" w:hAnsi="Garamond" w:cs="Times New Roman"/>
          <w:sz w:val="30"/>
          <w:szCs w:val="30"/>
          <w:lang w:eastAsia="it-IT"/>
        </w:rPr>
      </w:pPr>
      <w:r w:rsidRPr="00584D39">
        <w:rPr>
          <w:rFonts w:ascii="Garamond" w:eastAsia="Times New Roman" w:hAnsi="Garamond" w:cs="Times New Roman"/>
          <w:sz w:val="30"/>
          <w:szCs w:val="30"/>
          <w:lang w:eastAsia="it-IT"/>
        </w:rPr>
        <w:t>Vista la domanda di sospensione dell'esecuzione del provvedimento impugnato, presentata in via incidentale dalla parte ricorrente;</w:t>
      </w:r>
    </w:p>
    <w:p w:rsidR="00584D39" w:rsidRPr="00584D39" w:rsidRDefault="00584D39" w:rsidP="00584D39">
      <w:pPr>
        <w:spacing w:after="0" w:line="520" w:lineRule="atLeast"/>
        <w:jc w:val="both"/>
        <w:rPr>
          <w:rFonts w:ascii="Garamond" w:eastAsia="Times New Roman" w:hAnsi="Garamond" w:cs="Times New Roman"/>
          <w:sz w:val="30"/>
          <w:szCs w:val="30"/>
          <w:lang w:eastAsia="it-IT"/>
        </w:rPr>
      </w:pPr>
      <w:r w:rsidRPr="00584D39">
        <w:rPr>
          <w:rFonts w:ascii="Garamond" w:eastAsia="Times New Roman" w:hAnsi="Garamond" w:cs="Times New Roman"/>
          <w:sz w:val="30"/>
          <w:szCs w:val="30"/>
          <w:lang w:eastAsia="it-IT"/>
        </w:rPr>
        <w:t xml:space="preserve">Visto l'art. 55 cod. </w:t>
      </w:r>
      <w:proofErr w:type="spellStart"/>
      <w:r w:rsidRPr="00584D39">
        <w:rPr>
          <w:rFonts w:ascii="Garamond" w:eastAsia="Times New Roman" w:hAnsi="Garamond" w:cs="Times New Roman"/>
          <w:sz w:val="30"/>
          <w:szCs w:val="30"/>
          <w:lang w:eastAsia="it-IT"/>
        </w:rPr>
        <w:t>proc</w:t>
      </w:r>
      <w:proofErr w:type="spellEnd"/>
      <w:r w:rsidRPr="00584D39">
        <w:rPr>
          <w:rFonts w:ascii="Garamond" w:eastAsia="Times New Roman" w:hAnsi="Garamond" w:cs="Times New Roman"/>
          <w:sz w:val="30"/>
          <w:szCs w:val="30"/>
          <w:lang w:eastAsia="it-IT"/>
        </w:rPr>
        <w:t xml:space="preserve">. </w:t>
      </w:r>
      <w:proofErr w:type="spellStart"/>
      <w:r w:rsidRPr="00584D39">
        <w:rPr>
          <w:rFonts w:ascii="Garamond" w:eastAsia="Times New Roman" w:hAnsi="Garamond" w:cs="Times New Roman"/>
          <w:sz w:val="30"/>
          <w:szCs w:val="30"/>
          <w:lang w:eastAsia="it-IT"/>
        </w:rPr>
        <w:t>amm</w:t>
      </w:r>
      <w:proofErr w:type="spellEnd"/>
      <w:r w:rsidRPr="00584D39">
        <w:rPr>
          <w:rFonts w:ascii="Garamond" w:eastAsia="Times New Roman" w:hAnsi="Garamond" w:cs="Times New Roman"/>
          <w:sz w:val="30"/>
          <w:szCs w:val="30"/>
          <w:lang w:eastAsia="it-IT"/>
        </w:rPr>
        <w:t>.;</w:t>
      </w:r>
    </w:p>
    <w:p w:rsidR="00584D39" w:rsidRPr="00584D39" w:rsidRDefault="00584D39" w:rsidP="00584D39">
      <w:pPr>
        <w:spacing w:after="0" w:line="520" w:lineRule="atLeast"/>
        <w:jc w:val="both"/>
        <w:rPr>
          <w:rFonts w:ascii="Garamond" w:eastAsia="Times New Roman" w:hAnsi="Garamond" w:cs="Times New Roman"/>
          <w:sz w:val="30"/>
          <w:szCs w:val="30"/>
          <w:lang w:eastAsia="it-IT"/>
        </w:rPr>
      </w:pPr>
      <w:r w:rsidRPr="00584D39">
        <w:rPr>
          <w:rFonts w:ascii="Garamond" w:eastAsia="Times New Roman" w:hAnsi="Garamond" w:cs="Times New Roman"/>
          <w:sz w:val="30"/>
          <w:szCs w:val="30"/>
          <w:lang w:eastAsia="it-IT"/>
        </w:rPr>
        <w:t>Visti tutti gli atti della causa;</w:t>
      </w:r>
    </w:p>
    <w:p w:rsidR="00584D39" w:rsidRPr="00584D39" w:rsidRDefault="00584D39" w:rsidP="00584D39">
      <w:pPr>
        <w:spacing w:after="0" w:line="520" w:lineRule="atLeast"/>
        <w:jc w:val="both"/>
        <w:rPr>
          <w:rFonts w:ascii="Garamond" w:eastAsia="Times New Roman" w:hAnsi="Garamond" w:cs="Times New Roman"/>
          <w:sz w:val="30"/>
          <w:szCs w:val="30"/>
          <w:lang w:eastAsia="it-IT"/>
        </w:rPr>
      </w:pPr>
      <w:r w:rsidRPr="00584D39">
        <w:rPr>
          <w:rFonts w:ascii="Garamond" w:eastAsia="Times New Roman" w:hAnsi="Garamond" w:cs="Times New Roman"/>
          <w:sz w:val="30"/>
          <w:szCs w:val="30"/>
          <w:lang w:eastAsia="it-IT"/>
        </w:rPr>
        <w:t>Ritenuta la propria giurisdizione e competenza;</w:t>
      </w:r>
    </w:p>
    <w:p w:rsidR="00584D39" w:rsidRPr="00584D39" w:rsidRDefault="00584D39" w:rsidP="00584D39">
      <w:pPr>
        <w:spacing w:after="0" w:line="520" w:lineRule="atLeast"/>
        <w:jc w:val="both"/>
        <w:rPr>
          <w:rFonts w:ascii="Garamond" w:eastAsia="Times New Roman" w:hAnsi="Garamond" w:cs="Times New Roman"/>
          <w:sz w:val="30"/>
          <w:szCs w:val="30"/>
          <w:lang w:eastAsia="it-IT"/>
        </w:rPr>
      </w:pPr>
      <w:r w:rsidRPr="00584D39">
        <w:rPr>
          <w:rFonts w:ascii="Garamond" w:eastAsia="Times New Roman" w:hAnsi="Garamond" w:cs="Times New Roman"/>
          <w:sz w:val="30"/>
          <w:szCs w:val="30"/>
          <w:lang w:eastAsia="it-IT"/>
        </w:rPr>
        <w:t>Relatore nella camera di consiglio del giorno 8 maggio 2014 il dott. Alfredo Storto e uditi per le parti i difensori come specificato nel verbale;</w:t>
      </w:r>
    </w:p>
    <w:p w:rsidR="00584D39" w:rsidRPr="00584D39" w:rsidRDefault="00584D39" w:rsidP="00584D39">
      <w:pPr>
        <w:spacing w:after="0" w:line="240" w:lineRule="auto"/>
        <w:rPr>
          <w:rFonts w:ascii="Times New Roman" w:eastAsia="Times New Roman" w:hAnsi="Times New Roman" w:cs="Times New Roman"/>
          <w:sz w:val="24"/>
          <w:szCs w:val="24"/>
          <w:lang w:eastAsia="it-IT"/>
        </w:rPr>
      </w:pPr>
    </w:p>
    <w:p w:rsidR="00584D39" w:rsidRPr="00584D39" w:rsidRDefault="00584D39" w:rsidP="00584D39">
      <w:pPr>
        <w:spacing w:after="0" w:line="520" w:lineRule="atLeast"/>
        <w:jc w:val="both"/>
        <w:rPr>
          <w:rFonts w:ascii="Garamond" w:eastAsia="Times New Roman" w:hAnsi="Garamond" w:cs="Times New Roman"/>
          <w:sz w:val="30"/>
          <w:szCs w:val="30"/>
          <w:lang w:eastAsia="it-IT"/>
        </w:rPr>
      </w:pPr>
      <w:r w:rsidRPr="00584D39">
        <w:rPr>
          <w:rFonts w:ascii="Garamond" w:eastAsia="Times New Roman" w:hAnsi="Garamond" w:cs="Times New Roman"/>
          <w:sz w:val="30"/>
          <w:szCs w:val="30"/>
          <w:lang w:eastAsia="it-IT"/>
        </w:rPr>
        <w:t>Visto il decreto cautelare monocratico n. 1655 dell’8 aprile 2014 e ritenuto di accogliere l’istanza cautelare e per l’effetto di confermare il predetto provvedimento monocratico;</w:t>
      </w:r>
    </w:p>
    <w:p w:rsidR="00584D39" w:rsidRPr="00584D39" w:rsidRDefault="00584D39" w:rsidP="00584D39">
      <w:pPr>
        <w:spacing w:after="0" w:line="520" w:lineRule="atLeast"/>
        <w:jc w:val="both"/>
        <w:rPr>
          <w:rFonts w:ascii="Garamond" w:eastAsia="Times New Roman" w:hAnsi="Garamond" w:cs="Times New Roman"/>
          <w:sz w:val="30"/>
          <w:szCs w:val="30"/>
          <w:lang w:eastAsia="it-IT"/>
        </w:rPr>
      </w:pPr>
      <w:r w:rsidRPr="00584D39">
        <w:rPr>
          <w:rFonts w:ascii="Garamond" w:eastAsia="Times New Roman" w:hAnsi="Garamond" w:cs="Times New Roman"/>
          <w:sz w:val="30"/>
          <w:szCs w:val="30"/>
          <w:lang w:eastAsia="it-IT"/>
        </w:rPr>
        <w:t>Ritenuto di fissare, per la trattazione della causa nel merito, l’udienza del 12 febbraio 2015;</w:t>
      </w:r>
    </w:p>
    <w:p w:rsidR="00584D39" w:rsidRPr="00584D39" w:rsidRDefault="00584D39" w:rsidP="00584D39">
      <w:pPr>
        <w:spacing w:after="0" w:line="520" w:lineRule="atLeast"/>
        <w:jc w:val="both"/>
        <w:rPr>
          <w:rFonts w:ascii="Garamond" w:eastAsia="Times New Roman" w:hAnsi="Garamond" w:cs="Times New Roman"/>
          <w:sz w:val="30"/>
          <w:szCs w:val="30"/>
          <w:lang w:eastAsia="it-IT"/>
        </w:rPr>
      </w:pPr>
      <w:r w:rsidRPr="00584D39">
        <w:rPr>
          <w:rFonts w:ascii="Garamond" w:eastAsia="Times New Roman" w:hAnsi="Garamond" w:cs="Times New Roman"/>
          <w:sz w:val="30"/>
          <w:szCs w:val="30"/>
          <w:lang w:eastAsia="it-IT"/>
        </w:rPr>
        <w:t>Ritenuto che le spese della fase cautelare vanno compensate</w:t>
      </w:r>
    </w:p>
    <w:p w:rsidR="00584D39" w:rsidRPr="00584D39" w:rsidRDefault="00584D39" w:rsidP="00584D39">
      <w:pPr>
        <w:spacing w:after="0" w:line="540" w:lineRule="atLeast"/>
        <w:jc w:val="center"/>
        <w:rPr>
          <w:rFonts w:ascii="Garamond" w:eastAsia="Times New Roman" w:hAnsi="Garamond" w:cs="Times New Roman"/>
          <w:sz w:val="30"/>
          <w:szCs w:val="30"/>
          <w:lang w:eastAsia="it-IT"/>
        </w:rPr>
      </w:pPr>
      <w:r w:rsidRPr="00584D39">
        <w:rPr>
          <w:rFonts w:ascii="Garamond" w:eastAsia="Times New Roman" w:hAnsi="Garamond" w:cs="Times New Roman"/>
          <w:sz w:val="30"/>
          <w:szCs w:val="30"/>
          <w:lang w:eastAsia="it-IT"/>
        </w:rPr>
        <w:lastRenderedPageBreak/>
        <w:t>P.Q.M.</w:t>
      </w:r>
    </w:p>
    <w:p w:rsidR="00584D39" w:rsidRPr="00584D39" w:rsidRDefault="00584D39" w:rsidP="00584D39">
      <w:pPr>
        <w:spacing w:after="0" w:line="520" w:lineRule="atLeast"/>
        <w:jc w:val="both"/>
        <w:rPr>
          <w:rFonts w:ascii="Garamond" w:eastAsia="Times New Roman" w:hAnsi="Garamond" w:cs="Times New Roman"/>
          <w:sz w:val="30"/>
          <w:szCs w:val="30"/>
          <w:lang w:eastAsia="it-IT"/>
        </w:rPr>
      </w:pPr>
      <w:r w:rsidRPr="00584D39">
        <w:rPr>
          <w:rFonts w:ascii="Garamond" w:eastAsia="Times New Roman" w:hAnsi="Garamond" w:cs="Times New Roman"/>
          <w:sz w:val="30"/>
          <w:szCs w:val="30"/>
          <w:lang w:eastAsia="it-IT"/>
        </w:rPr>
        <w:t>Il Tribunale Amministrativo Regionale per il Lazio (Sezione Terza Bis) accoglie la domanda cautelare e, per l’effetto, conferma il decreto monocratico sopra indicato.</w:t>
      </w:r>
    </w:p>
    <w:p w:rsidR="00584D39" w:rsidRPr="00584D39" w:rsidRDefault="00584D39" w:rsidP="00584D39">
      <w:pPr>
        <w:spacing w:after="0" w:line="520" w:lineRule="atLeast"/>
        <w:jc w:val="both"/>
        <w:rPr>
          <w:rFonts w:ascii="Garamond" w:eastAsia="Times New Roman" w:hAnsi="Garamond" w:cs="Times New Roman"/>
          <w:sz w:val="30"/>
          <w:szCs w:val="30"/>
          <w:lang w:eastAsia="it-IT"/>
        </w:rPr>
      </w:pPr>
      <w:r w:rsidRPr="00584D39">
        <w:rPr>
          <w:rFonts w:ascii="Garamond" w:eastAsia="Times New Roman" w:hAnsi="Garamond" w:cs="Times New Roman"/>
          <w:sz w:val="30"/>
          <w:szCs w:val="30"/>
          <w:lang w:eastAsia="it-IT"/>
        </w:rPr>
        <w:t>Fissa per la trattazione di merito del ricorso l'udienza del 12 febbraio 2015;</w:t>
      </w:r>
    </w:p>
    <w:p w:rsidR="00584D39" w:rsidRPr="00584D39" w:rsidRDefault="00584D39" w:rsidP="00584D39">
      <w:pPr>
        <w:spacing w:after="0" w:line="520" w:lineRule="atLeast"/>
        <w:jc w:val="both"/>
        <w:rPr>
          <w:rFonts w:ascii="Garamond" w:eastAsia="Times New Roman" w:hAnsi="Garamond" w:cs="Times New Roman"/>
          <w:sz w:val="30"/>
          <w:szCs w:val="30"/>
          <w:lang w:eastAsia="it-IT"/>
        </w:rPr>
      </w:pPr>
      <w:r w:rsidRPr="00584D39">
        <w:rPr>
          <w:rFonts w:ascii="Garamond" w:eastAsia="Times New Roman" w:hAnsi="Garamond" w:cs="Times New Roman"/>
          <w:sz w:val="30"/>
          <w:szCs w:val="30"/>
          <w:lang w:eastAsia="it-IT"/>
        </w:rPr>
        <w:t>Compensa le spese della presente fase cautelare.</w:t>
      </w:r>
    </w:p>
    <w:p w:rsidR="00584D39" w:rsidRPr="00584D39" w:rsidRDefault="00584D39" w:rsidP="00584D39">
      <w:pPr>
        <w:spacing w:after="0" w:line="520" w:lineRule="atLeast"/>
        <w:jc w:val="both"/>
        <w:rPr>
          <w:rFonts w:ascii="Garamond" w:eastAsia="Times New Roman" w:hAnsi="Garamond" w:cs="Times New Roman"/>
          <w:sz w:val="30"/>
          <w:szCs w:val="30"/>
          <w:lang w:eastAsia="it-IT"/>
        </w:rPr>
      </w:pPr>
      <w:r w:rsidRPr="00584D39">
        <w:rPr>
          <w:rFonts w:ascii="Garamond" w:eastAsia="Times New Roman" w:hAnsi="Garamond" w:cs="Times New Roman"/>
          <w:sz w:val="30"/>
          <w:szCs w:val="30"/>
          <w:lang w:eastAsia="it-IT"/>
        </w:rPr>
        <w:t>La presente ordinanza sarà eseguita dall'Amministrazione ed è depositata presso la segreteria del Tribunale che provvederà a darne comunicazione alle parti.</w:t>
      </w:r>
    </w:p>
    <w:p w:rsidR="00584D39" w:rsidRPr="00584D39" w:rsidRDefault="00584D39" w:rsidP="00584D39">
      <w:pPr>
        <w:spacing w:after="0" w:line="520" w:lineRule="atLeast"/>
        <w:jc w:val="both"/>
        <w:rPr>
          <w:rFonts w:ascii="Garamond" w:eastAsia="Times New Roman" w:hAnsi="Garamond" w:cs="Times New Roman"/>
          <w:sz w:val="30"/>
          <w:szCs w:val="30"/>
          <w:lang w:eastAsia="it-IT"/>
        </w:rPr>
      </w:pPr>
      <w:r w:rsidRPr="00584D39">
        <w:rPr>
          <w:rFonts w:ascii="Garamond" w:eastAsia="Times New Roman" w:hAnsi="Garamond" w:cs="Times New Roman"/>
          <w:sz w:val="30"/>
          <w:szCs w:val="30"/>
          <w:lang w:eastAsia="it-IT"/>
        </w:rPr>
        <w:t>Così deciso in Roma nella camera di consiglio del giorno 8 maggio 2014 con l'intervento dei magistrati:</w:t>
      </w:r>
    </w:p>
    <w:p w:rsidR="00584D39" w:rsidRPr="00584D39" w:rsidRDefault="00584D39" w:rsidP="00584D39">
      <w:pPr>
        <w:spacing w:after="0" w:line="520" w:lineRule="atLeast"/>
        <w:ind w:firstLine="567"/>
        <w:rPr>
          <w:rFonts w:ascii="Garamond" w:eastAsia="Times New Roman" w:hAnsi="Garamond" w:cs="Times New Roman"/>
          <w:sz w:val="30"/>
          <w:szCs w:val="30"/>
          <w:lang w:eastAsia="it-IT"/>
        </w:rPr>
      </w:pPr>
      <w:r w:rsidRPr="00584D39">
        <w:rPr>
          <w:rFonts w:ascii="Garamond" w:eastAsia="Times New Roman" w:hAnsi="Garamond" w:cs="Times New Roman"/>
          <w:sz w:val="30"/>
          <w:szCs w:val="30"/>
          <w:lang w:eastAsia="it-IT"/>
        </w:rPr>
        <w:t>Pierina Biancofiore, Presidente FF</w:t>
      </w:r>
    </w:p>
    <w:p w:rsidR="00584D39" w:rsidRPr="00584D39" w:rsidRDefault="00584D39" w:rsidP="00584D39">
      <w:pPr>
        <w:spacing w:after="0" w:line="520" w:lineRule="atLeast"/>
        <w:ind w:firstLine="567"/>
        <w:rPr>
          <w:rFonts w:ascii="Garamond" w:eastAsia="Times New Roman" w:hAnsi="Garamond" w:cs="Times New Roman"/>
          <w:sz w:val="30"/>
          <w:szCs w:val="30"/>
          <w:lang w:eastAsia="it-IT"/>
        </w:rPr>
      </w:pPr>
      <w:r w:rsidRPr="00584D39">
        <w:rPr>
          <w:rFonts w:ascii="Garamond" w:eastAsia="Times New Roman" w:hAnsi="Garamond" w:cs="Times New Roman"/>
          <w:sz w:val="30"/>
          <w:szCs w:val="30"/>
          <w:lang w:eastAsia="it-IT"/>
        </w:rPr>
        <w:t>Giuseppe Chine', Consigliere</w:t>
      </w:r>
    </w:p>
    <w:p w:rsidR="00584D39" w:rsidRPr="00584D39" w:rsidRDefault="00584D39" w:rsidP="00584D39">
      <w:pPr>
        <w:spacing w:line="520" w:lineRule="atLeast"/>
        <w:ind w:firstLine="567"/>
        <w:rPr>
          <w:rFonts w:ascii="Garamond" w:eastAsia="Times New Roman" w:hAnsi="Garamond" w:cs="Times New Roman"/>
          <w:sz w:val="30"/>
          <w:szCs w:val="30"/>
          <w:lang w:eastAsia="it-IT"/>
        </w:rPr>
      </w:pPr>
      <w:r w:rsidRPr="00584D39">
        <w:rPr>
          <w:rFonts w:ascii="Garamond" w:eastAsia="Times New Roman" w:hAnsi="Garamond" w:cs="Times New Roman"/>
          <w:sz w:val="30"/>
          <w:szCs w:val="30"/>
          <w:lang w:eastAsia="it-IT"/>
        </w:rPr>
        <w:t>Alfredo Storto, Consigliere, Estensore</w:t>
      </w:r>
    </w:p>
    <w:tbl>
      <w:tblPr>
        <w:tblW w:w="5000" w:type="pct"/>
        <w:tblCellMar>
          <w:top w:w="15" w:type="dxa"/>
          <w:left w:w="15" w:type="dxa"/>
          <w:bottom w:w="15" w:type="dxa"/>
          <w:right w:w="15" w:type="dxa"/>
        </w:tblCellMar>
        <w:tblLook w:val="04A0" w:firstRow="1" w:lastRow="0" w:firstColumn="1" w:lastColumn="0" w:noHBand="0" w:noVBand="1"/>
      </w:tblPr>
      <w:tblGrid>
        <w:gridCol w:w="4551"/>
        <w:gridCol w:w="83"/>
        <w:gridCol w:w="5034"/>
      </w:tblGrid>
      <w:tr w:rsidR="00584D39" w:rsidRPr="00584D39" w:rsidTr="00584D39">
        <w:tc>
          <w:tcPr>
            <w:tcW w:w="0" w:type="auto"/>
            <w:vAlign w:val="center"/>
            <w:hideMark/>
          </w:tcPr>
          <w:p w:rsidR="00584D39" w:rsidRPr="00584D39" w:rsidRDefault="00584D39" w:rsidP="00584D39">
            <w:pPr>
              <w:spacing w:after="0" w:line="240" w:lineRule="auto"/>
              <w:jc w:val="center"/>
              <w:rPr>
                <w:rFonts w:ascii="Times New Roman" w:eastAsia="Times New Roman" w:hAnsi="Times New Roman" w:cs="Times New Roman"/>
                <w:b/>
                <w:bCs/>
                <w:sz w:val="28"/>
                <w:szCs w:val="28"/>
                <w:lang w:eastAsia="it-IT"/>
              </w:rPr>
            </w:pPr>
            <w:r w:rsidRPr="00584D39">
              <w:rPr>
                <w:rFonts w:ascii="Times New Roman" w:eastAsia="Times New Roman" w:hAnsi="Times New Roman" w:cs="Times New Roman"/>
                <w:b/>
                <w:bCs/>
                <w:sz w:val="28"/>
                <w:szCs w:val="28"/>
                <w:lang w:eastAsia="it-IT"/>
              </w:rPr>
              <w:t> </w:t>
            </w:r>
          </w:p>
        </w:tc>
        <w:tc>
          <w:tcPr>
            <w:tcW w:w="0" w:type="auto"/>
            <w:vAlign w:val="center"/>
            <w:hideMark/>
          </w:tcPr>
          <w:p w:rsidR="00584D39" w:rsidRPr="00584D39" w:rsidRDefault="00584D39" w:rsidP="00584D39">
            <w:pPr>
              <w:spacing w:after="0" w:line="240" w:lineRule="auto"/>
              <w:jc w:val="center"/>
              <w:rPr>
                <w:rFonts w:ascii="Times New Roman" w:eastAsia="Times New Roman" w:hAnsi="Times New Roman" w:cs="Times New Roman"/>
                <w:b/>
                <w:bCs/>
                <w:sz w:val="28"/>
                <w:szCs w:val="28"/>
                <w:lang w:eastAsia="it-IT"/>
              </w:rPr>
            </w:pPr>
          </w:p>
        </w:tc>
        <w:tc>
          <w:tcPr>
            <w:tcW w:w="0" w:type="auto"/>
            <w:vAlign w:val="center"/>
            <w:hideMark/>
          </w:tcPr>
          <w:p w:rsidR="00584D39" w:rsidRPr="00584D39" w:rsidRDefault="00584D39" w:rsidP="00584D39">
            <w:pPr>
              <w:spacing w:after="0" w:line="240" w:lineRule="auto"/>
              <w:jc w:val="center"/>
              <w:rPr>
                <w:rFonts w:ascii="Times New Roman" w:eastAsia="Times New Roman" w:hAnsi="Times New Roman" w:cs="Times New Roman"/>
                <w:b/>
                <w:bCs/>
                <w:sz w:val="28"/>
                <w:szCs w:val="28"/>
                <w:lang w:eastAsia="it-IT"/>
              </w:rPr>
            </w:pPr>
          </w:p>
        </w:tc>
      </w:tr>
      <w:tr w:rsidR="00584D39" w:rsidRPr="00584D39" w:rsidTr="00584D39">
        <w:tc>
          <w:tcPr>
            <w:tcW w:w="0" w:type="auto"/>
            <w:vAlign w:val="center"/>
            <w:hideMark/>
          </w:tcPr>
          <w:p w:rsidR="00584D39" w:rsidRPr="00584D39" w:rsidRDefault="00584D39" w:rsidP="00584D39">
            <w:pPr>
              <w:spacing w:after="0" w:line="240" w:lineRule="auto"/>
              <w:jc w:val="center"/>
              <w:rPr>
                <w:rFonts w:ascii="Times New Roman" w:eastAsia="Times New Roman" w:hAnsi="Times New Roman" w:cs="Times New Roman"/>
                <w:b/>
                <w:bCs/>
                <w:sz w:val="28"/>
                <w:szCs w:val="28"/>
                <w:lang w:eastAsia="it-IT"/>
              </w:rPr>
            </w:pPr>
            <w:r w:rsidRPr="00584D39">
              <w:rPr>
                <w:rFonts w:ascii="Times New Roman" w:eastAsia="Times New Roman" w:hAnsi="Times New Roman" w:cs="Times New Roman"/>
                <w:b/>
                <w:bCs/>
                <w:sz w:val="28"/>
                <w:szCs w:val="28"/>
                <w:lang w:eastAsia="it-IT"/>
              </w:rPr>
              <w:t> </w:t>
            </w:r>
          </w:p>
        </w:tc>
        <w:tc>
          <w:tcPr>
            <w:tcW w:w="0" w:type="auto"/>
            <w:vAlign w:val="center"/>
            <w:hideMark/>
          </w:tcPr>
          <w:p w:rsidR="00584D39" w:rsidRPr="00584D39" w:rsidRDefault="00584D39" w:rsidP="00584D39">
            <w:pPr>
              <w:spacing w:after="0" w:line="240" w:lineRule="auto"/>
              <w:jc w:val="center"/>
              <w:rPr>
                <w:rFonts w:ascii="Times New Roman" w:eastAsia="Times New Roman" w:hAnsi="Times New Roman" w:cs="Times New Roman"/>
                <w:b/>
                <w:bCs/>
                <w:sz w:val="28"/>
                <w:szCs w:val="28"/>
                <w:lang w:eastAsia="it-IT"/>
              </w:rPr>
            </w:pPr>
          </w:p>
        </w:tc>
        <w:tc>
          <w:tcPr>
            <w:tcW w:w="0" w:type="auto"/>
            <w:vAlign w:val="center"/>
            <w:hideMark/>
          </w:tcPr>
          <w:p w:rsidR="00584D39" w:rsidRPr="00584D39" w:rsidRDefault="00584D39" w:rsidP="00584D39">
            <w:pPr>
              <w:spacing w:after="0" w:line="240" w:lineRule="auto"/>
              <w:jc w:val="center"/>
              <w:rPr>
                <w:rFonts w:ascii="Times New Roman" w:eastAsia="Times New Roman" w:hAnsi="Times New Roman" w:cs="Times New Roman"/>
                <w:b/>
                <w:bCs/>
                <w:sz w:val="28"/>
                <w:szCs w:val="28"/>
                <w:lang w:eastAsia="it-IT"/>
              </w:rPr>
            </w:pPr>
          </w:p>
        </w:tc>
      </w:tr>
      <w:tr w:rsidR="00584D39" w:rsidRPr="00584D39" w:rsidTr="00584D39">
        <w:tc>
          <w:tcPr>
            <w:tcW w:w="0" w:type="auto"/>
            <w:vAlign w:val="center"/>
            <w:hideMark/>
          </w:tcPr>
          <w:p w:rsidR="00584D39" w:rsidRPr="00584D39" w:rsidRDefault="00584D39" w:rsidP="00584D39">
            <w:pPr>
              <w:spacing w:after="0" w:line="240" w:lineRule="auto"/>
              <w:jc w:val="center"/>
              <w:rPr>
                <w:rFonts w:ascii="Times New Roman" w:eastAsia="Times New Roman" w:hAnsi="Times New Roman" w:cs="Times New Roman"/>
                <w:b/>
                <w:bCs/>
                <w:sz w:val="28"/>
                <w:szCs w:val="28"/>
                <w:lang w:eastAsia="it-IT"/>
              </w:rPr>
            </w:pPr>
            <w:r w:rsidRPr="00584D39">
              <w:rPr>
                <w:rFonts w:ascii="Times New Roman" w:eastAsia="Times New Roman" w:hAnsi="Times New Roman" w:cs="Times New Roman"/>
                <w:b/>
                <w:bCs/>
                <w:sz w:val="28"/>
                <w:szCs w:val="28"/>
                <w:lang w:eastAsia="it-IT"/>
              </w:rPr>
              <w:t>L'ESTENSORE</w:t>
            </w:r>
          </w:p>
        </w:tc>
        <w:tc>
          <w:tcPr>
            <w:tcW w:w="0" w:type="auto"/>
            <w:vAlign w:val="center"/>
            <w:hideMark/>
          </w:tcPr>
          <w:p w:rsidR="00584D39" w:rsidRPr="00584D39" w:rsidRDefault="00584D39" w:rsidP="00584D39">
            <w:pPr>
              <w:spacing w:after="0" w:line="240" w:lineRule="auto"/>
              <w:jc w:val="center"/>
              <w:rPr>
                <w:rFonts w:ascii="Times New Roman" w:eastAsia="Times New Roman" w:hAnsi="Times New Roman" w:cs="Times New Roman"/>
                <w:b/>
                <w:bCs/>
                <w:sz w:val="28"/>
                <w:szCs w:val="28"/>
                <w:lang w:eastAsia="it-IT"/>
              </w:rPr>
            </w:pPr>
          </w:p>
        </w:tc>
        <w:tc>
          <w:tcPr>
            <w:tcW w:w="0" w:type="auto"/>
            <w:vAlign w:val="center"/>
            <w:hideMark/>
          </w:tcPr>
          <w:p w:rsidR="00584D39" w:rsidRPr="00584D39" w:rsidRDefault="00584D39" w:rsidP="00584D39">
            <w:pPr>
              <w:spacing w:after="0" w:line="240" w:lineRule="auto"/>
              <w:jc w:val="center"/>
              <w:rPr>
                <w:rFonts w:ascii="Times New Roman" w:eastAsia="Times New Roman" w:hAnsi="Times New Roman" w:cs="Times New Roman"/>
                <w:b/>
                <w:bCs/>
                <w:sz w:val="28"/>
                <w:szCs w:val="28"/>
                <w:lang w:eastAsia="it-IT"/>
              </w:rPr>
            </w:pPr>
            <w:r w:rsidRPr="00584D39">
              <w:rPr>
                <w:rFonts w:ascii="Times New Roman" w:eastAsia="Times New Roman" w:hAnsi="Times New Roman" w:cs="Times New Roman"/>
                <w:b/>
                <w:bCs/>
                <w:sz w:val="28"/>
                <w:szCs w:val="28"/>
                <w:lang w:eastAsia="it-IT"/>
              </w:rPr>
              <w:t>IL PRESIDENTE</w:t>
            </w:r>
          </w:p>
        </w:tc>
      </w:tr>
      <w:tr w:rsidR="00584D39" w:rsidRPr="00584D39" w:rsidTr="00584D39">
        <w:tc>
          <w:tcPr>
            <w:tcW w:w="0" w:type="auto"/>
            <w:vAlign w:val="center"/>
            <w:hideMark/>
          </w:tcPr>
          <w:p w:rsidR="00584D39" w:rsidRPr="00584D39" w:rsidRDefault="00584D39" w:rsidP="00584D39">
            <w:pPr>
              <w:spacing w:after="0" w:line="240" w:lineRule="auto"/>
              <w:jc w:val="center"/>
              <w:rPr>
                <w:rFonts w:ascii="Times New Roman" w:eastAsia="Times New Roman" w:hAnsi="Times New Roman" w:cs="Times New Roman"/>
                <w:b/>
                <w:bCs/>
                <w:sz w:val="28"/>
                <w:szCs w:val="28"/>
                <w:lang w:eastAsia="it-IT"/>
              </w:rPr>
            </w:pPr>
            <w:r w:rsidRPr="00584D39">
              <w:rPr>
                <w:rFonts w:ascii="Times New Roman" w:eastAsia="Times New Roman" w:hAnsi="Times New Roman" w:cs="Times New Roman"/>
                <w:b/>
                <w:bCs/>
                <w:sz w:val="28"/>
                <w:szCs w:val="28"/>
                <w:lang w:eastAsia="it-IT"/>
              </w:rPr>
              <w:t> </w:t>
            </w:r>
          </w:p>
        </w:tc>
        <w:tc>
          <w:tcPr>
            <w:tcW w:w="0" w:type="auto"/>
            <w:vAlign w:val="center"/>
            <w:hideMark/>
          </w:tcPr>
          <w:p w:rsidR="00584D39" w:rsidRPr="00584D39" w:rsidRDefault="00584D39" w:rsidP="00584D39">
            <w:pPr>
              <w:spacing w:after="0" w:line="240" w:lineRule="auto"/>
              <w:jc w:val="center"/>
              <w:rPr>
                <w:rFonts w:ascii="Times New Roman" w:eastAsia="Times New Roman" w:hAnsi="Times New Roman" w:cs="Times New Roman"/>
                <w:b/>
                <w:bCs/>
                <w:sz w:val="28"/>
                <w:szCs w:val="28"/>
                <w:lang w:eastAsia="it-IT"/>
              </w:rPr>
            </w:pPr>
          </w:p>
        </w:tc>
        <w:tc>
          <w:tcPr>
            <w:tcW w:w="0" w:type="auto"/>
            <w:vAlign w:val="center"/>
            <w:hideMark/>
          </w:tcPr>
          <w:p w:rsidR="00584D39" w:rsidRPr="00584D39" w:rsidRDefault="00584D39" w:rsidP="00584D39">
            <w:pPr>
              <w:spacing w:after="0" w:line="240" w:lineRule="auto"/>
              <w:jc w:val="center"/>
              <w:rPr>
                <w:rFonts w:ascii="Times New Roman" w:eastAsia="Times New Roman" w:hAnsi="Times New Roman" w:cs="Times New Roman"/>
                <w:b/>
                <w:bCs/>
                <w:sz w:val="28"/>
                <w:szCs w:val="28"/>
                <w:lang w:eastAsia="it-IT"/>
              </w:rPr>
            </w:pPr>
          </w:p>
        </w:tc>
      </w:tr>
      <w:tr w:rsidR="00584D39" w:rsidRPr="00584D39" w:rsidTr="00584D39">
        <w:tc>
          <w:tcPr>
            <w:tcW w:w="0" w:type="auto"/>
            <w:vAlign w:val="center"/>
            <w:hideMark/>
          </w:tcPr>
          <w:p w:rsidR="00584D39" w:rsidRPr="00584D39" w:rsidRDefault="00584D39" w:rsidP="00584D39">
            <w:pPr>
              <w:spacing w:after="0" w:line="240" w:lineRule="auto"/>
              <w:jc w:val="center"/>
              <w:rPr>
                <w:rFonts w:ascii="Times New Roman" w:eastAsia="Times New Roman" w:hAnsi="Times New Roman" w:cs="Times New Roman"/>
                <w:b/>
                <w:bCs/>
                <w:sz w:val="28"/>
                <w:szCs w:val="28"/>
                <w:lang w:eastAsia="it-IT"/>
              </w:rPr>
            </w:pPr>
            <w:r w:rsidRPr="00584D39">
              <w:rPr>
                <w:rFonts w:ascii="Times New Roman" w:eastAsia="Times New Roman" w:hAnsi="Times New Roman" w:cs="Times New Roman"/>
                <w:b/>
                <w:bCs/>
                <w:sz w:val="28"/>
                <w:szCs w:val="28"/>
                <w:lang w:eastAsia="it-IT"/>
              </w:rPr>
              <w:t> </w:t>
            </w:r>
          </w:p>
        </w:tc>
        <w:tc>
          <w:tcPr>
            <w:tcW w:w="0" w:type="auto"/>
            <w:vAlign w:val="center"/>
            <w:hideMark/>
          </w:tcPr>
          <w:p w:rsidR="00584D39" w:rsidRPr="00584D39" w:rsidRDefault="00584D39" w:rsidP="00584D39">
            <w:pPr>
              <w:spacing w:after="0" w:line="240" w:lineRule="auto"/>
              <w:jc w:val="center"/>
              <w:rPr>
                <w:rFonts w:ascii="Times New Roman" w:eastAsia="Times New Roman" w:hAnsi="Times New Roman" w:cs="Times New Roman"/>
                <w:b/>
                <w:bCs/>
                <w:sz w:val="28"/>
                <w:szCs w:val="28"/>
                <w:lang w:eastAsia="it-IT"/>
              </w:rPr>
            </w:pPr>
          </w:p>
        </w:tc>
        <w:tc>
          <w:tcPr>
            <w:tcW w:w="0" w:type="auto"/>
            <w:vAlign w:val="center"/>
            <w:hideMark/>
          </w:tcPr>
          <w:p w:rsidR="00584D39" w:rsidRPr="00584D39" w:rsidRDefault="00584D39" w:rsidP="00584D39">
            <w:pPr>
              <w:spacing w:after="0" w:line="240" w:lineRule="auto"/>
              <w:jc w:val="center"/>
              <w:rPr>
                <w:rFonts w:ascii="Times New Roman" w:eastAsia="Times New Roman" w:hAnsi="Times New Roman" w:cs="Times New Roman"/>
                <w:b/>
                <w:bCs/>
                <w:sz w:val="28"/>
                <w:szCs w:val="28"/>
                <w:lang w:eastAsia="it-IT"/>
              </w:rPr>
            </w:pPr>
          </w:p>
        </w:tc>
      </w:tr>
      <w:tr w:rsidR="00584D39" w:rsidRPr="00584D39" w:rsidTr="00584D39">
        <w:tc>
          <w:tcPr>
            <w:tcW w:w="0" w:type="auto"/>
            <w:vAlign w:val="center"/>
            <w:hideMark/>
          </w:tcPr>
          <w:p w:rsidR="00584D39" w:rsidRPr="00584D39" w:rsidRDefault="00584D39" w:rsidP="00584D39">
            <w:pPr>
              <w:spacing w:after="0" w:line="240" w:lineRule="auto"/>
              <w:jc w:val="center"/>
              <w:rPr>
                <w:rFonts w:ascii="Times New Roman" w:eastAsia="Times New Roman" w:hAnsi="Times New Roman" w:cs="Times New Roman"/>
                <w:b/>
                <w:bCs/>
                <w:sz w:val="28"/>
                <w:szCs w:val="28"/>
                <w:lang w:eastAsia="it-IT"/>
              </w:rPr>
            </w:pPr>
            <w:r w:rsidRPr="00584D39">
              <w:rPr>
                <w:rFonts w:ascii="Times New Roman" w:eastAsia="Times New Roman" w:hAnsi="Times New Roman" w:cs="Times New Roman"/>
                <w:b/>
                <w:bCs/>
                <w:sz w:val="28"/>
                <w:szCs w:val="28"/>
                <w:lang w:eastAsia="it-IT"/>
              </w:rPr>
              <w:t> </w:t>
            </w:r>
          </w:p>
        </w:tc>
        <w:tc>
          <w:tcPr>
            <w:tcW w:w="0" w:type="auto"/>
            <w:vAlign w:val="center"/>
            <w:hideMark/>
          </w:tcPr>
          <w:p w:rsidR="00584D39" w:rsidRPr="00584D39" w:rsidRDefault="00584D39" w:rsidP="00584D39">
            <w:pPr>
              <w:spacing w:after="0" w:line="240" w:lineRule="auto"/>
              <w:jc w:val="center"/>
              <w:rPr>
                <w:rFonts w:ascii="Times New Roman" w:eastAsia="Times New Roman" w:hAnsi="Times New Roman" w:cs="Times New Roman"/>
                <w:b/>
                <w:bCs/>
                <w:sz w:val="28"/>
                <w:szCs w:val="28"/>
                <w:lang w:eastAsia="it-IT"/>
              </w:rPr>
            </w:pPr>
          </w:p>
        </w:tc>
        <w:tc>
          <w:tcPr>
            <w:tcW w:w="0" w:type="auto"/>
            <w:vAlign w:val="center"/>
            <w:hideMark/>
          </w:tcPr>
          <w:p w:rsidR="00584D39" w:rsidRPr="00584D39" w:rsidRDefault="00584D39" w:rsidP="00584D39">
            <w:pPr>
              <w:spacing w:after="0" w:line="240" w:lineRule="auto"/>
              <w:jc w:val="center"/>
              <w:rPr>
                <w:rFonts w:ascii="Times New Roman" w:eastAsia="Times New Roman" w:hAnsi="Times New Roman" w:cs="Times New Roman"/>
                <w:b/>
                <w:bCs/>
                <w:sz w:val="28"/>
                <w:szCs w:val="28"/>
                <w:lang w:eastAsia="it-IT"/>
              </w:rPr>
            </w:pPr>
          </w:p>
        </w:tc>
      </w:tr>
    </w:tbl>
    <w:p w:rsidR="00584D39" w:rsidRPr="00584D39" w:rsidRDefault="00584D39" w:rsidP="00584D39">
      <w:pPr>
        <w:spacing w:after="240" w:line="240" w:lineRule="auto"/>
        <w:rPr>
          <w:rFonts w:ascii="Times New Roman" w:eastAsia="Times New Roman" w:hAnsi="Times New Roman" w:cs="Times New Roman"/>
          <w:sz w:val="24"/>
          <w:szCs w:val="24"/>
          <w:lang w:eastAsia="it-IT"/>
        </w:rPr>
      </w:pPr>
    </w:p>
    <w:p w:rsidR="00584D39" w:rsidRPr="00584D39" w:rsidRDefault="00584D39" w:rsidP="00584D39">
      <w:pPr>
        <w:spacing w:after="0" w:line="540" w:lineRule="atLeast"/>
        <w:jc w:val="center"/>
        <w:rPr>
          <w:rFonts w:ascii="Garamond" w:eastAsia="Times New Roman" w:hAnsi="Garamond" w:cs="Times New Roman"/>
          <w:sz w:val="30"/>
          <w:szCs w:val="30"/>
          <w:lang w:eastAsia="it-IT"/>
        </w:rPr>
      </w:pPr>
      <w:r w:rsidRPr="00584D39">
        <w:rPr>
          <w:rFonts w:ascii="Garamond" w:eastAsia="Times New Roman" w:hAnsi="Garamond" w:cs="Times New Roman"/>
          <w:sz w:val="30"/>
          <w:szCs w:val="30"/>
          <w:lang w:eastAsia="it-IT"/>
        </w:rPr>
        <w:t>DEPOSITATA IN SEGRETERIA</w:t>
      </w:r>
    </w:p>
    <w:p w:rsidR="00584D39" w:rsidRPr="00584D39" w:rsidRDefault="00584D39" w:rsidP="00584D39">
      <w:pPr>
        <w:spacing w:after="0" w:line="540" w:lineRule="atLeast"/>
        <w:jc w:val="center"/>
        <w:rPr>
          <w:rFonts w:ascii="Garamond" w:eastAsia="Times New Roman" w:hAnsi="Garamond" w:cs="Times New Roman"/>
          <w:sz w:val="30"/>
          <w:szCs w:val="30"/>
          <w:lang w:eastAsia="it-IT"/>
        </w:rPr>
      </w:pPr>
      <w:r w:rsidRPr="00584D39">
        <w:rPr>
          <w:rFonts w:ascii="Garamond" w:eastAsia="Times New Roman" w:hAnsi="Garamond" w:cs="Times New Roman"/>
          <w:sz w:val="30"/>
          <w:szCs w:val="30"/>
          <w:lang w:eastAsia="it-IT"/>
        </w:rPr>
        <w:t>Il 09/05/2014</w:t>
      </w:r>
    </w:p>
    <w:p w:rsidR="00584D39" w:rsidRPr="00584D39" w:rsidRDefault="00584D39" w:rsidP="00584D39">
      <w:pPr>
        <w:spacing w:after="0" w:line="540" w:lineRule="atLeast"/>
        <w:jc w:val="center"/>
        <w:rPr>
          <w:rFonts w:ascii="Garamond" w:eastAsia="Times New Roman" w:hAnsi="Garamond" w:cs="Times New Roman"/>
          <w:sz w:val="30"/>
          <w:szCs w:val="30"/>
          <w:lang w:eastAsia="it-IT"/>
        </w:rPr>
      </w:pPr>
      <w:r w:rsidRPr="00584D39">
        <w:rPr>
          <w:rFonts w:ascii="Garamond" w:eastAsia="Times New Roman" w:hAnsi="Garamond" w:cs="Times New Roman"/>
          <w:sz w:val="30"/>
          <w:szCs w:val="30"/>
          <w:lang w:eastAsia="it-IT"/>
        </w:rPr>
        <w:t>IL SEGRETARIO</w:t>
      </w:r>
    </w:p>
    <w:p w:rsidR="00584D39" w:rsidRPr="00584D39" w:rsidRDefault="00584D39" w:rsidP="00584D39">
      <w:pPr>
        <w:spacing w:line="540" w:lineRule="atLeast"/>
        <w:jc w:val="center"/>
        <w:rPr>
          <w:rFonts w:ascii="Garamond" w:eastAsia="Times New Roman" w:hAnsi="Garamond" w:cs="Times New Roman"/>
          <w:sz w:val="30"/>
          <w:szCs w:val="30"/>
          <w:lang w:val="en-US" w:eastAsia="it-IT"/>
        </w:rPr>
      </w:pPr>
      <w:r w:rsidRPr="00584D39">
        <w:rPr>
          <w:rFonts w:ascii="Garamond" w:eastAsia="Times New Roman" w:hAnsi="Garamond" w:cs="Times New Roman"/>
          <w:sz w:val="30"/>
          <w:szCs w:val="30"/>
          <w:lang w:val="en-US" w:eastAsia="it-IT"/>
        </w:rPr>
        <w:t xml:space="preserve">(Art. 89, co. 3, cod. proc. </w:t>
      </w:r>
      <w:proofErr w:type="spellStart"/>
      <w:r w:rsidRPr="00584D39">
        <w:rPr>
          <w:rFonts w:ascii="Garamond" w:eastAsia="Times New Roman" w:hAnsi="Garamond" w:cs="Times New Roman"/>
          <w:sz w:val="30"/>
          <w:szCs w:val="30"/>
          <w:lang w:val="en-US" w:eastAsia="it-IT"/>
        </w:rPr>
        <w:t>amm</w:t>
      </w:r>
      <w:proofErr w:type="spellEnd"/>
      <w:r w:rsidRPr="00584D39">
        <w:rPr>
          <w:rFonts w:ascii="Garamond" w:eastAsia="Times New Roman" w:hAnsi="Garamond" w:cs="Times New Roman"/>
          <w:sz w:val="30"/>
          <w:szCs w:val="30"/>
          <w:lang w:val="en-US" w:eastAsia="it-IT"/>
        </w:rPr>
        <w:t>.)</w:t>
      </w:r>
    </w:p>
    <w:p w:rsidR="00F00167" w:rsidRPr="00584D39" w:rsidRDefault="00F00167">
      <w:pPr>
        <w:rPr>
          <w:lang w:val="en-US"/>
        </w:rPr>
      </w:pPr>
    </w:p>
    <w:sectPr w:rsidR="00F00167" w:rsidRPr="00584D39">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ordic">
    <w:altName w:val="Times New Roman"/>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4D39"/>
    <w:rsid w:val="00540B7B"/>
    <w:rsid w:val="00584D39"/>
    <w:rsid w:val="00F0016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584D39"/>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584D3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584D39"/>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584D3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0812275">
      <w:bodyDiv w:val="1"/>
      <w:marLeft w:val="851"/>
      <w:marRight w:val="851"/>
      <w:marTop w:val="1134"/>
      <w:marBottom w:val="567"/>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515</Words>
  <Characters>2936</Characters>
  <Application>Microsoft Office Word</Application>
  <DocSecurity>0</DocSecurity>
  <Lines>24</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ROBY</dc:creator>
  <cp:lastModifiedBy>ROBY</cp:lastModifiedBy>
  <cp:revision>2</cp:revision>
  <dcterms:created xsi:type="dcterms:W3CDTF">2014-05-17T07:00:00Z</dcterms:created>
  <dcterms:modified xsi:type="dcterms:W3CDTF">2014-05-17T07:02:00Z</dcterms:modified>
</cp:coreProperties>
</file>