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5A7" w:rsidRDefault="002235A7" w:rsidP="00E436A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N. </w:t>
      </w:r>
      <w:r w:rsidR="00E436A5">
        <w:rPr>
          <w:rFonts w:ascii="Times New Roman" w:hAnsi="Times New Roman" w:cs="Times New Roman"/>
          <w:b/>
          <w:bCs/>
        </w:rPr>
        <w:t>….</w:t>
      </w:r>
      <w:r>
        <w:rPr>
          <w:rFonts w:ascii="Times New Roman" w:hAnsi="Times New Roman" w:cs="Times New Roman"/>
          <w:b/>
          <w:bCs/>
        </w:rPr>
        <w:t xml:space="preserve">/2012 </w:t>
      </w:r>
      <w:proofErr w:type="spellStart"/>
      <w:r>
        <w:rPr>
          <w:rFonts w:ascii="Times New Roman" w:hAnsi="Times New Roman" w:cs="Times New Roman"/>
          <w:b/>
          <w:bCs/>
        </w:rPr>
        <w:t>REG.PROV.CAU</w:t>
      </w:r>
      <w:proofErr w:type="spellEnd"/>
      <w:r>
        <w:rPr>
          <w:rFonts w:ascii="Times New Roman" w:hAnsi="Times New Roman" w:cs="Times New Roman"/>
          <w:b/>
          <w:bCs/>
        </w:rPr>
        <w:t>.</w:t>
      </w:r>
    </w:p>
    <w:p w:rsidR="002235A7" w:rsidRDefault="002235A7" w:rsidP="00E436A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N. </w:t>
      </w:r>
      <w:r w:rsidR="00E436A5">
        <w:rPr>
          <w:rFonts w:ascii="Times New Roman" w:hAnsi="Times New Roman" w:cs="Times New Roman"/>
          <w:b/>
          <w:bCs/>
        </w:rPr>
        <w:t>…….</w:t>
      </w:r>
      <w:r>
        <w:rPr>
          <w:rFonts w:ascii="Times New Roman" w:hAnsi="Times New Roman" w:cs="Times New Roman"/>
          <w:b/>
          <w:bCs/>
        </w:rPr>
        <w:t xml:space="preserve">/2012 </w:t>
      </w:r>
      <w:proofErr w:type="spellStart"/>
      <w:r>
        <w:rPr>
          <w:rFonts w:ascii="Times New Roman" w:hAnsi="Times New Roman" w:cs="Times New Roman"/>
          <w:b/>
          <w:bCs/>
        </w:rPr>
        <w:t>REG.RIC</w:t>
      </w:r>
      <w:proofErr w:type="spellEnd"/>
      <w:r>
        <w:rPr>
          <w:rFonts w:ascii="Times New Roman" w:hAnsi="Times New Roman" w:cs="Times New Roman"/>
          <w:b/>
          <w:bCs/>
        </w:rPr>
        <w:t>.</w:t>
      </w:r>
    </w:p>
    <w:p w:rsidR="002235A7" w:rsidRDefault="002235A7" w:rsidP="00E436A5">
      <w:pPr>
        <w:autoSpaceDE w:val="0"/>
        <w:autoSpaceDN w:val="0"/>
        <w:adjustRightInd w:val="0"/>
        <w:spacing w:after="0" w:line="240" w:lineRule="auto"/>
        <w:jc w:val="center"/>
        <w:rPr>
          <w:rFonts w:ascii="Garamond,Bold" w:hAnsi="Garamond,Bold" w:cs="Garamond,Bold"/>
          <w:b/>
          <w:bCs/>
          <w:sz w:val="24"/>
          <w:szCs w:val="24"/>
        </w:rPr>
      </w:pPr>
      <w:r>
        <w:rPr>
          <w:rFonts w:ascii="Garamond,Bold" w:hAnsi="Garamond,Bold" w:cs="Garamond,Bold"/>
          <w:b/>
          <w:bCs/>
          <w:sz w:val="24"/>
          <w:szCs w:val="24"/>
        </w:rPr>
        <w:t>REPUBBLICA ITALIANA</w:t>
      </w:r>
    </w:p>
    <w:p w:rsidR="002235A7" w:rsidRDefault="002235A7" w:rsidP="00E436A5">
      <w:pPr>
        <w:autoSpaceDE w:val="0"/>
        <w:autoSpaceDN w:val="0"/>
        <w:adjustRightInd w:val="0"/>
        <w:spacing w:after="0" w:line="240" w:lineRule="auto"/>
        <w:jc w:val="center"/>
        <w:rPr>
          <w:rFonts w:ascii="Garamond,Bold" w:hAnsi="Garamond,Bold" w:cs="Garamond,Bold"/>
          <w:b/>
          <w:bCs/>
          <w:sz w:val="26"/>
          <w:szCs w:val="26"/>
        </w:rPr>
      </w:pPr>
      <w:r>
        <w:rPr>
          <w:rFonts w:ascii="Garamond,Bold" w:hAnsi="Garamond,Bold" w:cs="Garamond,Bold"/>
          <w:b/>
          <w:bCs/>
          <w:sz w:val="26"/>
          <w:szCs w:val="26"/>
        </w:rPr>
        <w:t>Il Tribunale Amministrativo Regionale per il Lazio</w:t>
      </w:r>
    </w:p>
    <w:p w:rsidR="002235A7" w:rsidRDefault="002235A7" w:rsidP="00E436A5">
      <w:pPr>
        <w:autoSpaceDE w:val="0"/>
        <w:autoSpaceDN w:val="0"/>
        <w:adjustRightInd w:val="0"/>
        <w:spacing w:after="0" w:line="240" w:lineRule="auto"/>
        <w:jc w:val="center"/>
        <w:rPr>
          <w:rFonts w:ascii="Garamond,Bold" w:hAnsi="Garamond,Bold" w:cs="Garamond,Bold"/>
          <w:b/>
          <w:bCs/>
          <w:sz w:val="26"/>
          <w:szCs w:val="26"/>
        </w:rPr>
      </w:pPr>
      <w:r>
        <w:rPr>
          <w:rFonts w:ascii="Garamond,Bold" w:hAnsi="Garamond,Bold" w:cs="Garamond,Bold"/>
          <w:b/>
          <w:bCs/>
          <w:sz w:val="26"/>
          <w:szCs w:val="26"/>
        </w:rPr>
        <w:t>(Sezione Terza)</w:t>
      </w:r>
    </w:p>
    <w:p w:rsidR="00E436A5" w:rsidRDefault="00E436A5" w:rsidP="00E436A5">
      <w:pPr>
        <w:autoSpaceDE w:val="0"/>
        <w:autoSpaceDN w:val="0"/>
        <w:adjustRightInd w:val="0"/>
        <w:spacing w:after="0" w:line="240" w:lineRule="auto"/>
        <w:jc w:val="center"/>
        <w:rPr>
          <w:rFonts w:ascii="Garamond,Bold" w:hAnsi="Garamond,Bold" w:cs="Garamond,Bold"/>
          <w:b/>
          <w:bCs/>
          <w:sz w:val="26"/>
          <w:szCs w:val="26"/>
        </w:rPr>
      </w:pPr>
    </w:p>
    <w:p w:rsidR="002235A7" w:rsidRDefault="002235A7" w:rsidP="00E436A5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ha pronunciato la presente</w:t>
      </w:r>
    </w:p>
    <w:p w:rsidR="00E436A5" w:rsidRDefault="00E436A5" w:rsidP="00E436A5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Garamond"/>
          <w:sz w:val="30"/>
          <w:szCs w:val="30"/>
        </w:rPr>
      </w:pPr>
    </w:p>
    <w:p w:rsidR="002235A7" w:rsidRDefault="002235A7" w:rsidP="00E436A5">
      <w:pPr>
        <w:autoSpaceDE w:val="0"/>
        <w:autoSpaceDN w:val="0"/>
        <w:adjustRightInd w:val="0"/>
        <w:spacing w:after="0" w:line="240" w:lineRule="auto"/>
        <w:jc w:val="center"/>
        <w:rPr>
          <w:rFonts w:ascii="Garamond,Bold" w:hAnsi="Garamond,Bold" w:cs="Garamond,Bold"/>
          <w:b/>
          <w:bCs/>
          <w:sz w:val="26"/>
          <w:szCs w:val="26"/>
        </w:rPr>
      </w:pPr>
      <w:r>
        <w:rPr>
          <w:rFonts w:ascii="Garamond,Bold" w:hAnsi="Garamond,Bold" w:cs="Garamond,Bold"/>
          <w:b/>
          <w:bCs/>
          <w:sz w:val="26"/>
          <w:szCs w:val="26"/>
        </w:rPr>
        <w:t>ORDINANZA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 xml:space="preserve">sul ricorso numero di registro generale </w:t>
      </w:r>
      <w:r w:rsidR="00E436A5">
        <w:rPr>
          <w:rFonts w:ascii="Garamond" w:hAnsi="Garamond" w:cs="Garamond"/>
          <w:sz w:val="30"/>
          <w:szCs w:val="30"/>
        </w:rPr>
        <w:t>……</w:t>
      </w:r>
      <w:r>
        <w:rPr>
          <w:rFonts w:ascii="Garamond" w:hAnsi="Garamond" w:cs="Garamond"/>
          <w:sz w:val="30"/>
          <w:szCs w:val="30"/>
        </w:rPr>
        <w:t xml:space="preserve"> del 2012, proposto da:</w:t>
      </w:r>
    </w:p>
    <w:p w:rsidR="002235A7" w:rsidRDefault="00E436A5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……………..</w:t>
      </w:r>
      <w:r w:rsidR="002235A7">
        <w:rPr>
          <w:rFonts w:ascii="Garamond" w:hAnsi="Garamond" w:cs="Garamond"/>
          <w:sz w:val="30"/>
          <w:szCs w:val="30"/>
        </w:rPr>
        <w:t xml:space="preserve">, rappresentato e difeso dagli avv. Michele </w:t>
      </w:r>
      <w:proofErr w:type="spellStart"/>
      <w:r w:rsidR="002235A7">
        <w:rPr>
          <w:rFonts w:ascii="Garamond" w:hAnsi="Garamond" w:cs="Garamond"/>
          <w:sz w:val="30"/>
          <w:szCs w:val="30"/>
        </w:rPr>
        <w:t>Bonetti</w:t>
      </w:r>
      <w:proofErr w:type="spellEnd"/>
      <w:r w:rsidR="002235A7">
        <w:rPr>
          <w:rFonts w:ascii="Garamond" w:hAnsi="Garamond" w:cs="Garamond"/>
          <w:sz w:val="30"/>
          <w:szCs w:val="30"/>
        </w:rPr>
        <w:t xml:space="preserve"> e Santi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 xml:space="preserve">Delia, con domicilio eletto presso l’avv. Michele </w:t>
      </w:r>
      <w:proofErr w:type="spellStart"/>
      <w:r>
        <w:rPr>
          <w:rFonts w:ascii="Garamond" w:hAnsi="Garamond" w:cs="Garamond"/>
          <w:sz w:val="30"/>
          <w:szCs w:val="30"/>
        </w:rPr>
        <w:t>Bonetti</w:t>
      </w:r>
      <w:proofErr w:type="spellEnd"/>
      <w:r>
        <w:rPr>
          <w:rFonts w:ascii="Garamond" w:hAnsi="Garamond" w:cs="Garamond"/>
          <w:sz w:val="30"/>
          <w:szCs w:val="30"/>
        </w:rPr>
        <w:t xml:space="preserve"> in Roma, via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Tommaso D'Aquino 47;</w:t>
      </w:r>
    </w:p>
    <w:p w:rsidR="002235A7" w:rsidRDefault="002235A7" w:rsidP="00E436A5">
      <w:pPr>
        <w:autoSpaceDE w:val="0"/>
        <w:autoSpaceDN w:val="0"/>
        <w:adjustRightInd w:val="0"/>
        <w:spacing w:after="0" w:line="240" w:lineRule="auto"/>
        <w:jc w:val="center"/>
        <w:rPr>
          <w:rFonts w:ascii="Garamond,Italic" w:hAnsi="Garamond,Italic" w:cs="Garamond,Italic"/>
          <w:i/>
          <w:iCs/>
          <w:sz w:val="30"/>
          <w:szCs w:val="30"/>
        </w:rPr>
      </w:pPr>
      <w:r>
        <w:rPr>
          <w:rFonts w:ascii="Garamond,Italic" w:hAnsi="Garamond,Italic" w:cs="Garamond,Italic"/>
          <w:i/>
          <w:iCs/>
          <w:sz w:val="30"/>
          <w:szCs w:val="30"/>
        </w:rPr>
        <w:t>contro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 xml:space="preserve">Ministero dell’Istruzione </w:t>
      </w:r>
      <w:proofErr w:type="spellStart"/>
      <w:r>
        <w:rPr>
          <w:rFonts w:ascii="Garamond" w:hAnsi="Garamond" w:cs="Garamond"/>
          <w:sz w:val="30"/>
          <w:szCs w:val="30"/>
        </w:rPr>
        <w:t>Universita'</w:t>
      </w:r>
      <w:proofErr w:type="spellEnd"/>
      <w:r>
        <w:rPr>
          <w:rFonts w:ascii="Garamond" w:hAnsi="Garamond" w:cs="Garamond"/>
          <w:sz w:val="30"/>
          <w:szCs w:val="30"/>
        </w:rPr>
        <w:t xml:space="preserve"> e Ricerca, in persona del Ministro </w:t>
      </w:r>
      <w:proofErr w:type="spellStart"/>
      <w:r>
        <w:rPr>
          <w:rFonts w:ascii="Garamond" w:hAnsi="Garamond" w:cs="Garamond"/>
          <w:sz w:val="30"/>
          <w:szCs w:val="30"/>
        </w:rPr>
        <w:t>p.t.</w:t>
      </w:r>
      <w:proofErr w:type="spellEnd"/>
      <w:r>
        <w:rPr>
          <w:rFonts w:ascii="Garamond" w:hAnsi="Garamond" w:cs="Garamond"/>
          <w:sz w:val="30"/>
          <w:szCs w:val="30"/>
        </w:rPr>
        <w:t>,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 xml:space="preserve">e Università degli Studi di Messina, in persona del Rettore </w:t>
      </w:r>
      <w:proofErr w:type="spellStart"/>
      <w:r>
        <w:rPr>
          <w:rFonts w:ascii="Garamond" w:hAnsi="Garamond" w:cs="Garamond"/>
          <w:sz w:val="30"/>
          <w:szCs w:val="30"/>
        </w:rPr>
        <w:t>p.t.</w:t>
      </w:r>
      <w:proofErr w:type="spellEnd"/>
      <w:r>
        <w:rPr>
          <w:rFonts w:ascii="Garamond" w:hAnsi="Garamond" w:cs="Garamond"/>
          <w:sz w:val="30"/>
          <w:szCs w:val="30"/>
        </w:rPr>
        <w:t>,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rappresentati e difesi per legge dall'Avvocatura Generale, domiciliata in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Roma, via dei Portoghesi, 12;</w:t>
      </w:r>
    </w:p>
    <w:p w:rsidR="002235A7" w:rsidRDefault="002235A7" w:rsidP="00E436A5">
      <w:pPr>
        <w:autoSpaceDE w:val="0"/>
        <w:autoSpaceDN w:val="0"/>
        <w:adjustRightInd w:val="0"/>
        <w:spacing w:after="0" w:line="240" w:lineRule="auto"/>
        <w:jc w:val="center"/>
        <w:rPr>
          <w:rFonts w:ascii="Garamond,Italic" w:hAnsi="Garamond,Italic" w:cs="Garamond,Italic"/>
          <w:i/>
          <w:iCs/>
          <w:sz w:val="30"/>
          <w:szCs w:val="30"/>
        </w:rPr>
      </w:pPr>
      <w:r>
        <w:rPr>
          <w:rFonts w:ascii="Garamond,Italic" w:hAnsi="Garamond,Italic" w:cs="Garamond,Italic"/>
          <w:i/>
          <w:iCs/>
          <w:sz w:val="30"/>
          <w:szCs w:val="30"/>
        </w:rPr>
        <w:t>per l'annullamento,</w:t>
      </w:r>
    </w:p>
    <w:p w:rsidR="002235A7" w:rsidRDefault="002235A7" w:rsidP="00E436A5">
      <w:pPr>
        <w:autoSpaceDE w:val="0"/>
        <w:autoSpaceDN w:val="0"/>
        <w:adjustRightInd w:val="0"/>
        <w:spacing w:after="0" w:line="240" w:lineRule="auto"/>
        <w:jc w:val="center"/>
        <w:rPr>
          <w:rFonts w:ascii="Garamond,Italic" w:hAnsi="Garamond,Italic" w:cs="Garamond,Italic"/>
          <w:i/>
          <w:iCs/>
          <w:sz w:val="30"/>
          <w:szCs w:val="30"/>
        </w:rPr>
      </w:pPr>
      <w:r>
        <w:rPr>
          <w:rFonts w:ascii="Garamond,Italic" w:hAnsi="Garamond,Italic" w:cs="Garamond,Italic"/>
          <w:i/>
          <w:iCs/>
          <w:sz w:val="30"/>
          <w:szCs w:val="30"/>
        </w:rPr>
        <w:t>previa sospensione dell'efficacia,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 xml:space="preserve">a) della nota 26 ottobre 2012, </w:t>
      </w:r>
      <w:proofErr w:type="spellStart"/>
      <w:r>
        <w:rPr>
          <w:rFonts w:ascii="Garamond" w:hAnsi="Garamond" w:cs="Garamond"/>
          <w:sz w:val="30"/>
          <w:szCs w:val="30"/>
        </w:rPr>
        <w:t>prot</w:t>
      </w:r>
      <w:proofErr w:type="spellEnd"/>
      <w:r>
        <w:rPr>
          <w:rFonts w:ascii="Garamond" w:hAnsi="Garamond" w:cs="Garamond"/>
          <w:sz w:val="30"/>
          <w:szCs w:val="30"/>
        </w:rPr>
        <w:t>. n. 57857 con la quale è stata rigettata la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domanda di iscrizione ad anno successivo al I di parte ricorrente;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 xml:space="preserve">b) ove occorra del </w:t>
      </w:r>
      <w:proofErr w:type="spellStart"/>
      <w:r>
        <w:rPr>
          <w:rFonts w:ascii="Garamond" w:hAnsi="Garamond" w:cs="Garamond"/>
          <w:sz w:val="30"/>
          <w:szCs w:val="30"/>
        </w:rPr>
        <w:t>D.R.</w:t>
      </w:r>
      <w:proofErr w:type="spellEnd"/>
      <w:r>
        <w:rPr>
          <w:rFonts w:ascii="Garamond" w:hAnsi="Garamond" w:cs="Garamond"/>
          <w:sz w:val="30"/>
          <w:szCs w:val="30"/>
        </w:rPr>
        <w:t xml:space="preserve"> 5 luglio 2012, n. 1772, bando di concorso per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l’ammissione al corso di laurea in Odontoiatria e Protesi dentaria nella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parte in cui le relative disposizioni (art. 2) e, in particolare, l’onere di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sottoporsi al test di ammissione e collocarsi in posizione utile rispetto ai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posti banditi per il I anno, venga ritenuto applicabile anche ai candidati in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possesso della laurea in Medicina e Chirurgia nonché, ove occorra, del D.M.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28 giugno 2012, n. 196 che ha stabilito (riportando pedissequamente il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 xml:space="preserve">disposto di cui all’art. 4 della </w:t>
      </w:r>
      <w:proofErr w:type="spellStart"/>
      <w:r>
        <w:rPr>
          <w:rFonts w:ascii="Garamond" w:hAnsi="Garamond" w:cs="Garamond"/>
          <w:sz w:val="30"/>
          <w:szCs w:val="30"/>
        </w:rPr>
        <w:t>l.n.</w:t>
      </w:r>
      <w:proofErr w:type="spellEnd"/>
      <w:r>
        <w:rPr>
          <w:rFonts w:ascii="Garamond" w:hAnsi="Garamond" w:cs="Garamond"/>
          <w:sz w:val="30"/>
          <w:szCs w:val="30"/>
        </w:rPr>
        <w:t xml:space="preserve"> 264/99) le modalità per l’espletamento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della prova di ammissione al corso di laurea in Odontoiatria e Protesi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dentaria per l’anno accademico 2012/2013 stabilendo, all’art. 1, che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“l’ammissione degli studenti ai corsi di laurea di cui all’articolo 1, comma 1,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lettera a) della legge 2 agosto 1999, n. 264, avviene previo superamento di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apposita prova sulla base delle disposizioni di cui al presente decreto”;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per l’accertamento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del diritto del ricorrente di essere ammesso al Corso di laurea in questione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 xml:space="preserve">e di ottenere il risarcimento di tutti i danni subiti e </w:t>
      </w:r>
      <w:proofErr w:type="spellStart"/>
      <w:r>
        <w:rPr>
          <w:rFonts w:ascii="Garamond" w:hAnsi="Garamond" w:cs="Garamond"/>
          <w:sz w:val="30"/>
          <w:szCs w:val="30"/>
        </w:rPr>
        <w:t>subendi</w:t>
      </w:r>
      <w:proofErr w:type="spellEnd"/>
      <w:r>
        <w:rPr>
          <w:rFonts w:ascii="Garamond" w:hAnsi="Garamond" w:cs="Garamond"/>
          <w:sz w:val="30"/>
          <w:szCs w:val="30"/>
        </w:rPr>
        <w:t xml:space="preserve"> a causa del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diniego all’iscrizione opposta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per la condanna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delle Amministrazioni intimate all’adozione dei relativi provvedimenti e al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pagamento delle relative somme, con interessi e rivalutazione, come per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lastRenderedPageBreak/>
        <w:t>legge.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Visti il ricorso e i relativi allegati;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Visto l’atto di costituzione in giudizio del Ministero dell’Istruzione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proofErr w:type="spellStart"/>
      <w:r>
        <w:rPr>
          <w:rFonts w:ascii="Garamond" w:hAnsi="Garamond" w:cs="Garamond"/>
          <w:sz w:val="30"/>
          <w:szCs w:val="30"/>
        </w:rPr>
        <w:t>Universita'</w:t>
      </w:r>
      <w:proofErr w:type="spellEnd"/>
      <w:r>
        <w:rPr>
          <w:rFonts w:ascii="Garamond" w:hAnsi="Garamond" w:cs="Garamond"/>
          <w:sz w:val="30"/>
          <w:szCs w:val="30"/>
        </w:rPr>
        <w:t xml:space="preserve"> e Ricerca e dell’Università degli Studi di Messina;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Viste le note difensive di parte ricorrente e l’ulteriore documentazione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allegata;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Vista la domanda di sospensione dell'esecuzione del provvedimento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impugnato, presentata in via incidentale dalla parte ricorrente;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 xml:space="preserve">Visto l'art. 55 cod. proc. </w:t>
      </w:r>
      <w:proofErr w:type="spellStart"/>
      <w:r>
        <w:rPr>
          <w:rFonts w:ascii="Garamond" w:hAnsi="Garamond" w:cs="Garamond"/>
          <w:sz w:val="30"/>
          <w:szCs w:val="30"/>
        </w:rPr>
        <w:t>amm</w:t>
      </w:r>
      <w:proofErr w:type="spellEnd"/>
      <w:r>
        <w:rPr>
          <w:rFonts w:ascii="Garamond" w:hAnsi="Garamond" w:cs="Garamond"/>
          <w:sz w:val="30"/>
          <w:szCs w:val="30"/>
        </w:rPr>
        <w:t>.;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Visti tutti gli atti della causa;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Ritenuta la propria giurisdizione e competenza;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Relatore nella camera di consiglio del 19 dicembre 2012 il dott. Ivo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proofErr w:type="spellStart"/>
      <w:r>
        <w:rPr>
          <w:rFonts w:ascii="Garamond" w:hAnsi="Garamond" w:cs="Garamond"/>
          <w:sz w:val="30"/>
          <w:szCs w:val="30"/>
        </w:rPr>
        <w:t>Correale</w:t>
      </w:r>
      <w:proofErr w:type="spellEnd"/>
      <w:r>
        <w:rPr>
          <w:rFonts w:ascii="Garamond" w:hAnsi="Garamond" w:cs="Garamond"/>
          <w:sz w:val="30"/>
          <w:szCs w:val="30"/>
        </w:rPr>
        <w:t xml:space="preserve"> e uditi per le parti i difensori come specificato nel verbale;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Considerato che, al sommario esame proprio della presente fase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 xml:space="preserve">processuale, sussistono i presupposti di cui all’art. 55 </w:t>
      </w:r>
      <w:proofErr w:type="spellStart"/>
      <w:r>
        <w:rPr>
          <w:rFonts w:ascii="Garamond" w:hAnsi="Garamond" w:cs="Garamond"/>
          <w:sz w:val="30"/>
          <w:szCs w:val="30"/>
        </w:rPr>
        <w:t>c.p.a.</w:t>
      </w:r>
      <w:proofErr w:type="spellEnd"/>
      <w:r>
        <w:rPr>
          <w:rFonts w:ascii="Garamond" w:hAnsi="Garamond" w:cs="Garamond"/>
          <w:sz w:val="30"/>
          <w:szCs w:val="30"/>
        </w:rPr>
        <w:t xml:space="preserve"> per la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concessione della tutela cautelare richiesta, in relazione alla più logica e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corretta interpretazione di legge e della documentazione concorsuale che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porta ad escludere per coloro che chiedono l’immatricolazione ad anni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successivi al primo perché già laureati in Medicina e Chirurgia - nonché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come il ricorrente titolari di Master universitario in materia affine a quella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del Corso di laurea in Odontoiatria e Protesi dentaria, quale Chirurgia orale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 xml:space="preserve">e </w:t>
      </w:r>
      <w:proofErr w:type="spellStart"/>
      <w:r>
        <w:rPr>
          <w:rFonts w:ascii="Garamond" w:hAnsi="Garamond" w:cs="Garamond"/>
          <w:sz w:val="30"/>
          <w:szCs w:val="30"/>
        </w:rPr>
        <w:t>Implantoprotesi</w:t>
      </w:r>
      <w:proofErr w:type="spellEnd"/>
      <w:r>
        <w:rPr>
          <w:rFonts w:ascii="Garamond" w:hAnsi="Garamond" w:cs="Garamond"/>
          <w:sz w:val="30"/>
          <w:szCs w:val="30"/>
        </w:rPr>
        <w:t xml:space="preserve"> - l’obbligatorietà di sostenere la prova di ammissione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prevista per coloro che intendono immatricolarsi al primo anno, dato che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tale prova è necessaria al fine di verificare l’attitudine degli aspiranti al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relativo ciclo di studi ma tale attitudine può considerarsi già desumibile dai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titoli di studi e dal curriculum del ricorrente sopra ricordati;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Considerato che l’intervenuto avvio delle lezioni configura il pregiudizio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dedotto e che il ricorrente dovrà essere quindi ammesso ad anno successivo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al primo – con riserva dell’esito della fase di merito del presente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contenzioso – secondo valutazione demandata al Consiglio del Corso di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laurea, in ragione del curriculum del ricorrente e degli esami sostenuti nel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Corso di laurea in Medicina e Chirurgia e del contingente previsto per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l’anno di ammissione, in relazione ai posti attualmente disponibili;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Considerato che, secondo la documentazione depositata in giudizio da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parte ricorrente, risultano vacanti posti negli anni successivi al primo, senza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che possa quindi invocarsi lesione dell’originaria programmazione didattica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dell’Ateneo;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Considerato che le spese della presente fase possono compensarsi, attesa la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peculiarità della vicenda</w:t>
      </w:r>
    </w:p>
    <w:p w:rsidR="002235A7" w:rsidRDefault="002235A7" w:rsidP="00E436A5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P.Q.M.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Il Tribunale Amministrativo Regionale per il Lazio (Sezione Terza) accoglie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lastRenderedPageBreak/>
        <w:t>la domanda cautelare e, per l'effetto: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a) sospende il provvedimento impugnato che rigetta la domanda del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ricorrente di iscrizione ad anno successivo al primo del corso di laurea in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Odontoiatria e Protesi dentaria dell’Università degli Studi di Messina;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b) dispone l’ammissione con riserva del ricorrente all’iscrizione ad anno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successivo al primo secondo la valutazione che dovrà effettuare all’uopo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l’Amministrazione;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c) fissa per la trattazione di merito del ricorso l'udienza pubblica del 6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novembre 2013.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Compensa le spese della presente fase cautelare.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La presente ordinanza sarà eseguita dall'Amministrazione ed è depositata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presso la segreteria del Tribunale che provvederà a darne comunicazione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alle parti.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Così deciso in Roma nella camera di consiglio del 21 dicembre 2012 con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l'intervento dei magistrati: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Franco Bianchi, Presidente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Giuseppe Sapone, Consigliere</w:t>
      </w:r>
    </w:p>
    <w:p w:rsidR="002235A7" w:rsidRDefault="002235A7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 xml:space="preserve">Ivo </w:t>
      </w:r>
      <w:proofErr w:type="spellStart"/>
      <w:r>
        <w:rPr>
          <w:rFonts w:ascii="Garamond" w:hAnsi="Garamond" w:cs="Garamond"/>
          <w:sz w:val="30"/>
          <w:szCs w:val="30"/>
        </w:rPr>
        <w:t>Correale</w:t>
      </w:r>
      <w:proofErr w:type="spellEnd"/>
      <w:r>
        <w:rPr>
          <w:rFonts w:ascii="Garamond" w:hAnsi="Garamond" w:cs="Garamond"/>
          <w:sz w:val="30"/>
          <w:szCs w:val="30"/>
        </w:rPr>
        <w:t>, Consigliere, Estensore</w:t>
      </w:r>
    </w:p>
    <w:p w:rsidR="00E436A5" w:rsidRDefault="00E436A5" w:rsidP="002235A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</w:p>
    <w:p w:rsidR="002235A7" w:rsidRDefault="002235A7" w:rsidP="00E436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L'ESTENSORE IL PRESIDENTE</w:t>
      </w:r>
    </w:p>
    <w:p w:rsidR="002235A7" w:rsidRDefault="002235A7" w:rsidP="00E436A5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DEPOSITATA IN SEGRETERIA</w:t>
      </w:r>
    </w:p>
    <w:p w:rsidR="002235A7" w:rsidRDefault="00E436A5" w:rsidP="00E436A5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Il …</w:t>
      </w:r>
      <w:r w:rsidR="002235A7">
        <w:rPr>
          <w:rFonts w:ascii="Garamond" w:hAnsi="Garamond" w:cs="Garamond"/>
          <w:sz w:val="30"/>
          <w:szCs w:val="30"/>
        </w:rPr>
        <w:t>/12/2012</w:t>
      </w:r>
    </w:p>
    <w:p w:rsidR="002235A7" w:rsidRDefault="002235A7" w:rsidP="00E436A5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IL SEGRETARIO</w:t>
      </w:r>
    </w:p>
    <w:p w:rsidR="002235A7" w:rsidRDefault="002235A7" w:rsidP="00E436A5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 xml:space="preserve">(Art. 89, </w:t>
      </w:r>
      <w:proofErr w:type="spellStart"/>
      <w:r>
        <w:rPr>
          <w:rFonts w:ascii="Garamond" w:hAnsi="Garamond" w:cs="Garamond"/>
          <w:sz w:val="30"/>
          <w:szCs w:val="30"/>
        </w:rPr>
        <w:t>co</w:t>
      </w:r>
      <w:proofErr w:type="spellEnd"/>
      <w:r>
        <w:rPr>
          <w:rFonts w:ascii="Garamond" w:hAnsi="Garamond" w:cs="Garamond"/>
          <w:sz w:val="30"/>
          <w:szCs w:val="30"/>
        </w:rPr>
        <w:t xml:space="preserve">. 3, cod. proc. </w:t>
      </w:r>
      <w:proofErr w:type="spellStart"/>
      <w:r>
        <w:rPr>
          <w:rFonts w:ascii="Garamond" w:hAnsi="Garamond" w:cs="Garamond"/>
          <w:sz w:val="30"/>
          <w:szCs w:val="30"/>
        </w:rPr>
        <w:t>amm</w:t>
      </w:r>
      <w:proofErr w:type="spellEnd"/>
      <w:r>
        <w:rPr>
          <w:rFonts w:ascii="Garamond" w:hAnsi="Garamond" w:cs="Garamond"/>
          <w:sz w:val="30"/>
          <w:szCs w:val="30"/>
        </w:rPr>
        <w:t>.)</w:t>
      </w:r>
    </w:p>
    <w:p w:rsidR="00000000" w:rsidRDefault="00E436A5" w:rsidP="00E436A5">
      <w:pPr>
        <w:jc w:val="center"/>
      </w:pPr>
    </w:p>
    <w:sectPr w:rsidR="000000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aramond,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compat>
    <w:useFELayout/>
  </w:compat>
  <w:rsids>
    <w:rsidRoot w:val="002235A7"/>
    <w:rsid w:val="002235A7"/>
    <w:rsid w:val="00E436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857</Words>
  <Characters>4888</Characters>
  <Application>Microsoft Office Word</Application>
  <DocSecurity>0</DocSecurity>
  <Lines>40</Lines>
  <Paragraphs>11</Paragraphs>
  <ScaleCrop>false</ScaleCrop>
  <Company/>
  <LinksUpToDate>false</LinksUpToDate>
  <CharactersWithSpaces>5734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3</cp:revision>
  <dcterms:created xsi:type="dcterms:W3CDTF">2013-01-25T23:50:00Z</dcterms:created>
  <dcterms:modified xsi:type="dcterms:W3CDTF">2013-01-25T23:53:00Z</dcterms:modified>
</cp:coreProperties>
</file>